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E37" w:rsidRDefault="00F36D29">
      <w:pPr>
        <w:rPr>
          <w:lang w:val="en-US"/>
        </w:rPr>
      </w:pPr>
    </w:p>
    <w:p w:rsidR="007235E9" w:rsidRDefault="007235E9">
      <w:pPr>
        <w:rPr>
          <w:lang w:val="en-US"/>
        </w:rPr>
      </w:pPr>
    </w:p>
    <w:p w:rsidR="007235E9" w:rsidRPr="0063753C" w:rsidRDefault="007235E9" w:rsidP="007235E9">
      <w:pPr>
        <w:spacing w:before="240"/>
        <w:jc w:val="center"/>
        <w:rPr>
          <w:bCs/>
          <w:sz w:val="22"/>
          <w:szCs w:val="22"/>
        </w:rPr>
      </w:pPr>
      <w:r w:rsidRPr="0063753C">
        <w:rPr>
          <w:bCs/>
          <w:sz w:val="22"/>
          <w:szCs w:val="22"/>
        </w:rPr>
        <w:t>Сообщение</w:t>
      </w:r>
    </w:p>
    <w:p w:rsidR="007235E9" w:rsidRDefault="007235E9" w:rsidP="007235E9">
      <w:pPr>
        <w:adjustRightInd w:val="0"/>
        <w:ind w:firstLine="540"/>
        <w:jc w:val="center"/>
        <w:outlineLvl w:val="0"/>
        <w:rPr>
          <w:rFonts w:eastAsiaTheme="minorHAnsi"/>
          <w:sz w:val="22"/>
          <w:szCs w:val="22"/>
          <w:lang w:eastAsia="en-US"/>
        </w:rPr>
      </w:pPr>
      <w:r>
        <w:rPr>
          <w:rFonts w:eastAsiaTheme="minorHAnsi"/>
          <w:sz w:val="22"/>
          <w:szCs w:val="22"/>
          <w:lang w:eastAsia="en-US"/>
        </w:rPr>
        <w:t>о существенном факте о дате, на которую определяются лица, имеющие право на осуществление прав по эмиссионным ценным бумагам эмитента, в том числе о дате, на которую составляется список лиц, имеющих право на участие в общем собрании акционеров эмитента</w:t>
      </w:r>
    </w:p>
    <w:p w:rsidR="007235E9" w:rsidRPr="0063753C" w:rsidRDefault="007235E9" w:rsidP="007235E9">
      <w:pPr>
        <w:adjustRightInd w:val="0"/>
        <w:ind w:firstLine="540"/>
        <w:jc w:val="center"/>
        <w:rPr>
          <w:rFonts w:eastAsiaTheme="minorHAnsi"/>
          <w:sz w:val="22"/>
          <w:szCs w:val="22"/>
          <w:lang w:eastAsia="en-US"/>
        </w:rPr>
      </w:pPr>
    </w:p>
    <w:p w:rsidR="007235E9" w:rsidRDefault="007235E9" w:rsidP="007235E9">
      <w:pPr>
        <w:adjustRightInd w:val="0"/>
        <w:ind w:firstLine="540"/>
        <w:jc w:val="center"/>
        <w:rPr>
          <w:b/>
          <w:bCs/>
          <w:sz w:val="26"/>
          <w:szCs w:val="26"/>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7235E9" w:rsidRPr="00CA4E84" w:rsidTr="00D46EEB">
        <w:trPr>
          <w:cantSplit/>
        </w:trPr>
        <w:tc>
          <w:tcPr>
            <w:tcW w:w="9979" w:type="dxa"/>
            <w:gridSpan w:val="2"/>
          </w:tcPr>
          <w:p w:rsidR="007235E9" w:rsidRPr="00CA4E84" w:rsidRDefault="007235E9" w:rsidP="00D46EEB">
            <w:pPr>
              <w:jc w:val="center"/>
              <w:rPr>
                <w:sz w:val="22"/>
                <w:szCs w:val="22"/>
              </w:rPr>
            </w:pPr>
            <w:r w:rsidRPr="00CA4E84">
              <w:rPr>
                <w:sz w:val="22"/>
                <w:szCs w:val="22"/>
              </w:rPr>
              <w:t>1. Общие сведения</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1.1. Полное фирменное наименование эмитента (для некоммерческой организации – наименование)</w:t>
            </w:r>
          </w:p>
        </w:tc>
        <w:tc>
          <w:tcPr>
            <w:tcW w:w="5046" w:type="dxa"/>
          </w:tcPr>
          <w:p w:rsidR="007235E9" w:rsidRPr="00EC1E4D" w:rsidRDefault="007235E9" w:rsidP="00D46EEB">
            <w:pPr>
              <w:pStyle w:val="prilozhenie"/>
              <w:ind w:firstLine="0"/>
              <w:rPr>
                <w:bCs/>
              </w:rPr>
            </w:pPr>
            <w:r w:rsidRPr="00EC1E4D">
              <w:rPr>
                <w:bCs/>
              </w:rPr>
              <w:t>Открытое акционерное общество «Калугатоппром»</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1.2. Сокращенное фирменное наименование эмитента</w:t>
            </w:r>
          </w:p>
        </w:tc>
        <w:tc>
          <w:tcPr>
            <w:tcW w:w="5046" w:type="dxa"/>
          </w:tcPr>
          <w:p w:rsidR="007235E9" w:rsidRPr="00EC1E4D" w:rsidRDefault="007235E9" w:rsidP="00D46EEB">
            <w:pPr>
              <w:pStyle w:val="prilozhenie"/>
              <w:ind w:firstLine="0"/>
              <w:rPr>
                <w:bCs/>
              </w:rPr>
            </w:pPr>
            <w:r w:rsidRPr="00EC1E4D">
              <w:rPr>
                <w:bCs/>
              </w:rPr>
              <w:t>ОАО «Калугатоппром»</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1.3. Место нахождения эмитента</w:t>
            </w:r>
          </w:p>
        </w:tc>
        <w:tc>
          <w:tcPr>
            <w:tcW w:w="5046" w:type="dxa"/>
          </w:tcPr>
          <w:p w:rsidR="007235E9" w:rsidRPr="00EC1E4D" w:rsidRDefault="007235E9" w:rsidP="00D46EEB">
            <w:r w:rsidRPr="00EC1E4D">
              <w:rPr>
                <w:bCs/>
              </w:rPr>
              <w:t>248025,  г. Калуга, пер. Сельский, д.10</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1.4. ОГРН эмитента</w:t>
            </w:r>
          </w:p>
        </w:tc>
        <w:tc>
          <w:tcPr>
            <w:tcW w:w="5046" w:type="dxa"/>
          </w:tcPr>
          <w:p w:rsidR="007235E9" w:rsidRPr="00EC1E4D" w:rsidRDefault="007235E9" w:rsidP="00D46EEB">
            <w:r w:rsidRPr="00EC1E4D">
              <w:rPr>
                <w:bCs/>
                <w:lang w:val="en-AU"/>
              </w:rPr>
              <w:t>1024001342364</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1.5. ИНН эмитента</w:t>
            </w:r>
          </w:p>
        </w:tc>
        <w:tc>
          <w:tcPr>
            <w:tcW w:w="5046" w:type="dxa"/>
          </w:tcPr>
          <w:p w:rsidR="007235E9" w:rsidRPr="00EC1E4D" w:rsidRDefault="007235E9" w:rsidP="00D46EEB">
            <w:r w:rsidRPr="00EC1E4D">
              <w:rPr>
                <w:bCs/>
              </w:rPr>
              <w:t>4028015808</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1.6. Уникальный код эмитента, присвоенный регистрирующим органом</w:t>
            </w:r>
          </w:p>
        </w:tc>
        <w:tc>
          <w:tcPr>
            <w:tcW w:w="5046" w:type="dxa"/>
          </w:tcPr>
          <w:p w:rsidR="007235E9" w:rsidRPr="00EC1E4D" w:rsidRDefault="007235E9" w:rsidP="00D46EEB">
            <w:r w:rsidRPr="00EC1E4D">
              <w:rPr>
                <w:bCs/>
              </w:rPr>
              <w:t>09691-A</w:t>
            </w:r>
          </w:p>
        </w:tc>
      </w:tr>
      <w:tr w:rsidR="007235E9" w:rsidRPr="00CA4E84" w:rsidTr="00D46EEB">
        <w:tc>
          <w:tcPr>
            <w:tcW w:w="4933" w:type="dxa"/>
          </w:tcPr>
          <w:p w:rsidR="007235E9" w:rsidRPr="00CA4E84" w:rsidRDefault="007235E9" w:rsidP="00D46EEB">
            <w:pPr>
              <w:ind w:left="57" w:right="57"/>
              <w:jc w:val="both"/>
              <w:rPr>
                <w:sz w:val="22"/>
                <w:szCs w:val="22"/>
              </w:rPr>
            </w:pPr>
            <w:r w:rsidRPr="00CA4E84">
              <w:rPr>
                <w:sz w:val="22"/>
                <w:szCs w:val="22"/>
              </w:rPr>
              <w:t>1.7. Адрес страницы в сети Интернет, используемой эмитентом для раскрытия информации</w:t>
            </w:r>
          </w:p>
        </w:tc>
        <w:tc>
          <w:tcPr>
            <w:tcW w:w="5046" w:type="dxa"/>
          </w:tcPr>
          <w:p w:rsidR="007235E9" w:rsidRPr="00DB3661" w:rsidRDefault="00F36D29" w:rsidP="00D46EEB">
            <w:pPr>
              <w:pStyle w:val="ConsPlusNonformat"/>
              <w:rPr>
                <w:rFonts w:ascii="Times New Roman" w:hAnsi="Times New Roman" w:cs="Times New Roman"/>
                <w:bCs/>
                <w:sz w:val="22"/>
                <w:szCs w:val="22"/>
              </w:rPr>
            </w:pPr>
            <w:hyperlink r:id="rId5" w:history="1">
              <w:r w:rsidR="007235E9" w:rsidRPr="00DB3661">
                <w:rPr>
                  <w:rStyle w:val="a3"/>
                  <w:rFonts w:ascii="Times New Roman" w:hAnsi="Times New Roman" w:cs="Times New Roman"/>
                  <w:bCs/>
                  <w:sz w:val="22"/>
                  <w:szCs w:val="22"/>
                  <w:lang w:val="en-US"/>
                </w:rPr>
                <w:t>www</w:t>
              </w:r>
              <w:r w:rsidR="007235E9" w:rsidRPr="00DB3661">
                <w:rPr>
                  <w:rStyle w:val="a3"/>
                  <w:rFonts w:ascii="Times New Roman" w:hAnsi="Times New Roman" w:cs="Times New Roman"/>
                  <w:bCs/>
                  <w:sz w:val="22"/>
                  <w:szCs w:val="22"/>
                </w:rPr>
                <w:t>.</w:t>
              </w:r>
              <w:r w:rsidR="007235E9" w:rsidRPr="00DB3661">
                <w:rPr>
                  <w:rStyle w:val="a3"/>
                  <w:rFonts w:ascii="Times New Roman" w:hAnsi="Times New Roman" w:cs="Times New Roman"/>
                  <w:bCs/>
                  <w:sz w:val="22"/>
                  <w:szCs w:val="22"/>
                  <w:lang w:val="en-US"/>
                </w:rPr>
                <w:t>class</w:t>
              </w:r>
              <w:r w:rsidR="007235E9" w:rsidRPr="00DB3661">
                <w:rPr>
                  <w:rStyle w:val="a3"/>
                  <w:rFonts w:ascii="Times New Roman" w:hAnsi="Times New Roman" w:cs="Times New Roman"/>
                  <w:bCs/>
                  <w:sz w:val="22"/>
                  <w:szCs w:val="22"/>
                </w:rPr>
                <w:t>.</w:t>
              </w:r>
              <w:r w:rsidR="007235E9" w:rsidRPr="00DB3661">
                <w:rPr>
                  <w:rStyle w:val="a3"/>
                  <w:rFonts w:ascii="Times New Roman" w:hAnsi="Times New Roman" w:cs="Times New Roman"/>
                  <w:bCs/>
                  <w:sz w:val="22"/>
                  <w:szCs w:val="22"/>
                  <w:lang w:val="en-US"/>
                </w:rPr>
                <w:t>kaluga</w:t>
              </w:r>
              <w:r w:rsidR="007235E9" w:rsidRPr="00DB3661">
                <w:rPr>
                  <w:rStyle w:val="a3"/>
                  <w:rFonts w:ascii="Times New Roman" w:hAnsi="Times New Roman" w:cs="Times New Roman"/>
                  <w:bCs/>
                  <w:sz w:val="22"/>
                  <w:szCs w:val="22"/>
                </w:rPr>
                <w:t>.</w:t>
              </w:r>
              <w:r w:rsidR="007235E9" w:rsidRPr="00DB3661">
                <w:rPr>
                  <w:rStyle w:val="a3"/>
                  <w:rFonts w:ascii="Times New Roman" w:hAnsi="Times New Roman" w:cs="Times New Roman"/>
                  <w:bCs/>
                  <w:sz w:val="22"/>
                  <w:szCs w:val="22"/>
                  <w:lang w:val="en-US"/>
                </w:rPr>
                <w:t>ru</w:t>
              </w:r>
            </w:hyperlink>
          </w:p>
          <w:p w:rsidR="007235E9" w:rsidRPr="00E5129A" w:rsidRDefault="007235E9" w:rsidP="00D46EEB">
            <w:pPr>
              <w:pStyle w:val="prilozhenie"/>
              <w:ind w:firstLine="0"/>
              <w:rPr>
                <w:b/>
                <w:bCs/>
              </w:rPr>
            </w:pPr>
            <w:r w:rsidRPr="00DB3661">
              <w:rPr>
                <w:sz w:val="22"/>
                <w:szCs w:val="22"/>
              </w:rPr>
              <w:t>www.e-disclosure.ru/portal/company.aspx?id=5087</w:t>
            </w:r>
          </w:p>
        </w:tc>
      </w:tr>
    </w:tbl>
    <w:p w:rsidR="007235E9" w:rsidRPr="00CA4E84" w:rsidRDefault="007235E9" w:rsidP="007235E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7235E9" w:rsidRPr="00CA4E84" w:rsidTr="00D46EEB">
        <w:tc>
          <w:tcPr>
            <w:tcW w:w="9979" w:type="dxa"/>
          </w:tcPr>
          <w:p w:rsidR="007235E9" w:rsidRPr="00CA4E84" w:rsidRDefault="007235E9" w:rsidP="00D46EEB">
            <w:pPr>
              <w:jc w:val="center"/>
              <w:rPr>
                <w:sz w:val="22"/>
                <w:szCs w:val="22"/>
              </w:rPr>
            </w:pPr>
            <w:r w:rsidRPr="00CA4E84">
              <w:rPr>
                <w:sz w:val="22"/>
                <w:szCs w:val="22"/>
              </w:rPr>
              <w:t>2. Содержание сообщения</w:t>
            </w:r>
          </w:p>
        </w:tc>
      </w:tr>
      <w:tr w:rsidR="007235E9" w:rsidRPr="00CA4E84" w:rsidTr="00D46EEB">
        <w:tc>
          <w:tcPr>
            <w:tcW w:w="9979" w:type="dxa"/>
          </w:tcPr>
          <w:p w:rsidR="007235E9" w:rsidRPr="007235E9" w:rsidRDefault="007235E9" w:rsidP="007235E9">
            <w:pPr>
              <w:adjustRightInd w:val="0"/>
              <w:jc w:val="both"/>
              <w:outlineLvl w:val="3"/>
              <w:rPr>
                <w:sz w:val="22"/>
                <w:szCs w:val="22"/>
              </w:rPr>
            </w:pPr>
            <w:r w:rsidRPr="007235E9">
              <w:rPr>
                <w:color w:val="000000"/>
                <w:sz w:val="22"/>
                <w:szCs w:val="22"/>
                <w:shd w:val="clear" w:color="auto" w:fill="FAFAFA"/>
              </w:rPr>
              <w:t xml:space="preserve">2.1. </w:t>
            </w:r>
            <w:r w:rsidRPr="007235E9">
              <w:rPr>
                <w:rFonts w:eastAsiaTheme="minorHAnsi"/>
                <w:sz w:val="22"/>
                <w:szCs w:val="22"/>
                <w:lang w:eastAsia="en-US"/>
              </w:rPr>
              <w:t>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w:t>
            </w:r>
            <w:r w:rsidRPr="007235E9">
              <w:rPr>
                <w:color w:val="000000"/>
                <w:sz w:val="22"/>
                <w:szCs w:val="22"/>
                <w:shd w:val="clear" w:color="auto" w:fill="FAFAFA"/>
              </w:rPr>
              <w:t xml:space="preserve">: </w:t>
            </w:r>
            <w:r w:rsidRPr="007235E9">
              <w:rPr>
                <w:sz w:val="22"/>
                <w:szCs w:val="22"/>
              </w:rPr>
              <w:t>акции обыкновенные, акции привилегированные типа А, государственный р</w:t>
            </w:r>
            <w:r w:rsidR="00F36D29">
              <w:rPr>
                <w:sz w:val="22"/>
                <w:szCs w:val="22"/>
              </w:rPr>
              <w:t xml:space="preserve">егистрационный номер 37-1-П-335, дата государственной регистрации 24.06.1994. </w:t>
            </w:r>
          </w:p>
          <w:p w:rsidR="007235E9" w:rsidRPr="00E94FAB" w:rsidRDefault="007235E9" w:rsidP="007235E9">
            <w:pPr>
              <w:adjustRightInd w:val="0"/>
              <w:jc w:val="both"/>
              <w:rPr>
                <w:color w:val="000000"/>
                <w:sz w:val="22"/>
                <w:szCs w:val="22"/>
                <w:shd w:val="clear" w:color="auto" w:fill="FAFAFA"/>
              </w:rPr>
            </w:pPr>
            <w:r w:rsidRPr="00E94FAB">
              <w:rPr>
                <w:rStyle w:val="apple-converted-space"/>
                <w:color w:val="000000"/>
                <w:sz w:val="22"/>
                <w:szCs w:val="22"/>
                <w:shd w:val="clear" w:color="auto" w:fill="FAFAFA"/>
              </w:rPr>
              <w:t> </w:t>
            </w:r>
            <w:r w:rsidRPr="00E94FAB">
              <w:rPr>
                <w:color w:val="000000"/>
                <w:sz w:val="22"/>
                <w:szCs w:val="22"/>
                <w:shd w:val="clear" w:color="auto" w:fill="FAFAFA"/>
              </w:rPr>
              <w:t xml:space="preserve">2.2. </w:t>
            </w:r>
            <w:r>
              <w:rPr>
                <w:color w:val="000000"/>
                <w:sz w:val="22"/>
                <w:szCs w:val="22"/>
                <w:shd w:val="clear" w:color="auto" w:fill="FAFAFA"/>
              </w:rPr>
              <w:t>П</w:t>
            </w:r>
            <w:r w:rsidRPr="00E94FAB">
              <w:rPr>
                <w:rFonts w:eastAsiaTheme="minorHAnsi"/>
                <w:sz w:val="22"/>
                <w:szCs w:val="22"/>
                <w:lang w:eastAsia="en-US"/>
              </w:rPr>
              <w:t>рава, закрепленные ценными бумагами эмитента, в отношении которых устанавливается дата, на которую определяются лица, имеющие право на их осуществление</w:t>
            </w:r>
            <w:r w:rsidRPr="00E94FAB">
              <w:rPr>
                <w:color w:val="000000"/>
                <w:sz w:val="22"/>
                <w:szCs w:val="22"/>
                <w:shd w:val="clear" w:color="auto" w:fill="FAFAFA"/>
              </w:rPr>
              <w:t>: право на участие в годовом</w:t>
            </w:r>
            <w:r>
              <w:rPr>
                <w:color w:val="000000"/>
                <w:sz w:val="22"/>
                <w:szCs w:val="22"/>
                <w:shd w:val="clear" w:color="auto" w:fill="FAFAFA"/>
              </w:rPr>
              <w:t xml:space="preserve"> общем собрании акционеров ОАО «Калугатоппром»</w:t>
            </w:r>
            <w:r w:rsidRPr="00E94FAB">
              <w:rPr>
                <w:color w:val="000000"/>
                <w:sz w:val="22"/>
                <w:szCs w:val="22"/>
                <w:shd w:val="clear" w:color="auto" w:fill="FAFAFA"/>
              </w:rPr>
              <w:t>.</w:t>
            </w:r>
          </w:p>
          <w:p w:rsidR="007235E9" w:rsidRPr="00E94FAB" w:rsidRDefault="007235E9" w:rsidP="007235E9">
            <w:pPr>
              <w:adjustRightInd w:val="0"/>
              <w:jc w:val="both"/>
              <w:rPr>
                <w:color w:val="000000"/>
                <w:sz w:val="22"/>
                <w:szCs w:val="22"/>
                <w:shd w:val="clear" w:color="auto" w:fill="FAFAFA"/>
              </w:rPr>
            </w:pPr>
            <w:r w:rsidRPr="00E94FAB">
              <w:rPr>
                <w:color w:val="000000"/>
                <w:sz w:val="22"/>
                <w:szCs w:val="22"/>
                <w:shd w:val="clear" w:color="auto" w:fill="FAFAFA"/>
              </w:rPr>
              <w:t xml:space="preserve">2.3. </w:t>
            </w:r>
            <w:r>
              <w:rPr>
                <w:color w:val="000000"/>
                <w:sz w:val="22"/>
                <w:szCs w:val="22"/>
                <w:shd w:val="clear" w:color="auto" w:fill="FAFAFA"/>
              </w:rPr>
              <w:t>Д</w:t>
            </w:r>
            <w:r w:rsidRPr="00E94FAB">
              <w:rPr>
                <w:rFonts w:eastAsiaTheme="minorHAnsi"/>
                <w:sz w:val="22"/>
                <w:szCs w:val="22"/>
                <w:lang w:eastAsia="en-US"/>
              </w:rPr>
              <w:t>ата, на которую определяются лица, имеющие право на осуществление прав по ценным бумагам эмитента</w:t>
            </w:r>
            <w:r w:rsidR="00F36D29">
              <w:rPr>
                <w:color w:val="000000"/>
                <w:sz w:val="22"/>
                <w:szCs w:val="22"/>
                <w:shd w:val="clear" w:color="auto" w:fill="FAFAFA"/>
              </w:rPr>
              <w:t>: 23</w:t>
            </w:r>
            <w:r>
              <w:rPr>
                <w:color w:val="000000"/>
                <w:sz w:val="22"/>
                <w:szCs w:val="22"/>
                <w:shd w:val="clear" w:color="auto" w:fill="FAFAFA"/>
              </w:rPr>
              <w:t>.05</w:t>
            </w:r>
            <w:r w:rsidRPr="00E94FAB">
              <w:rPr>
                <w:color w:val="000000"/>
                <w:sz w:val="22"/>
                <w:szCs w:val="22"/>
                <w:shd w:val="clear" w:color="auto" w:fill="FAFAFA"/>
              </w:rPr>
              <w:t>.201</w:t>
            </w:r>
            <w:r w:rsidR="00F36D29">
              <w:rPr>
                <w:color w:val="000000"/>
                <w:sz w:val="22"/>
                <w:szCs w:val="22"/>
                <w:shd w:val="clear" w:color="auto" w:fill="FAFAFA"/>
              </w:rPr>
              <w:t>6</w:t>
            </w:r>
            <w:r w:rsidRPr="00E94FAB">
              <w:rPr>
                <w:color w:val="000000"/>
                <w:sz w:val="22"/>
                <w:szCs w:val="22"/>
                <w:shd w:val="clear" w:color="auto" w:fill="FAFAFA"/>
              </w:rPr>
              <w:t>.</w:t>
            </w:r>
          </w:p>
          <w:p w:rsidR="007235E9" w:rsidRPr="00E94FAB" w:rsidRDefault="007235E9" w:rsidP="007235E9">
            <w:pPr>
              <w:adjustRightInd w:val="0"/>
              <w:jc w:val="both"/>
              <w:rPr>
                <w:rFonts w:eastAsiaTheme="minorHAnsi"/>
                <w:sz w:val="22"/>
                <w:szCs w:val="22"/>
                <w:lang w:eastAsia="en-US"/>
              </w:rPr>
            </w:pPr>
            <w:r w:rsidRPr="00E94FAB">
              <w:rPr>
                <w:color w:val="000000"/>
                <w:sz w:val="22"/>
                <w:szCs w:val="22"/>
                <w:shd w:val="clear" w:color="auto" w:fill="FAFAFA"/>
              </w:rPr>
              <w:t xml:space="preserve">2.4. </w:t>
            </w:r>
            <w:r>
              <w:rPr>
                <w:rFonts w:eastAsiaTheme="minorHAnsi"/>
                <w:sz w:val="22"/>
                <w:szCs w:val="22"/>
                <w:lang w:eastAsia="en-US"/>
              </w:rPr>
              <w:t>Д</w:t>
            </w:r>
            <w:r w:rsidRPr="00E94FAB">
              <w:rPr>
                <w:rFonts w:eastAsiaTheme="minorHAnsi"/>
                <w:sz w:val="22"/>
                <w:szCs w:val="22"/>
                <w:lang w:eastAsia="en-US"/>
              </w:rPr>
              <w:t>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(дате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w:t>
            </w:r>
            <w:r w:rsidRPr="00E94FAB">
              <w:rPr>
                <w:color w:val="000000"/>
                <w:sz w:val="22"/>
                <w:szCs w:val="22"/>
                <w:shd w:val="clear" w:color="auto" w:fill="FAFAFA"/>
              </w:rPr>
              <w:t xml:space="preserve">: протокол заседания Совета директоров </w:t>
            </w:r>
            <w:r>
              <w:rPr>
                <w:color w:val="000000"/>
                <w:sz w:val="22"/>
                <w:szCs w:val="22"/>
                <w:shd w:val="clear" w:color="auto" w:fill="FAFAFA"/>
              </w:rPr>
              <w:t xml:space="preserve">№  </w:t>
            </w:r>
            <w:r w:rsidRPr="007235E9">
              <w:rPr>
                <w:bCs/>
                <w:sz w:val="22"/>
                <w:szCs w:val="22"/>
              </w:rPr>
              <w:t>1/0</w:t>
            </w:r>
            <w:r w:rsidR="00F36D29">
              <w:rPr>
                <w:bCs/>
                <w:sz w:val="22"/>
                <w:szCs w:val="22"/>
              </w:rPr>
              <w:t>5/16</w:t>
            </w:r>
            <w:r>
              <w:rPr>
                <w:b/>
                <w:bCs/>
                <w:sz w:val="28"/>
              </w:rPr>
              <w:t xml:space="preserve"> </w:t>
            </w:r>
            <w:r w:rsidRPr="00E94FAB">
              <w:rPr>
                <w:color w:val="000000"/>
                <w:sz w:val="22"/>
                <w:szCs w:val="22"/>
                <w:shd w:val="clear" w:color="auto" w:fill="FAFAFA"/>
              </w:rPr>
              <w:t xml:space="preserve">от </w:t>
            </w:r>
            <w:r w:rsidR="00F36D29">
              <w:rPr>
                <w:color w:val="000000"/>
                <w:sz w:val="22"/>
                <w:szCs w:val="22"/>
                <w:shd w:val="clear" w:color="auto" w:fill="FAFAFA"/>
              </w:rPr>
              <w:t>12.05</w:t>
            </w:r>
            <w:r w:rsidRPr="00E94FAB">
              <w:rPr>
                <w:color w:val="000000"/>
                <w:sz w:val="22"/>
                <w:szCs w:val="22"/>
                <w:shd w:val="clear" w:color="auto" w:fill="FAFAFA"/>
              </w:rPr>
              <w:t>.201</w:t>
            </w:r>
            <w:r w:rsidR="00F36D29">
              <w:rPr>
                <w:color w:val="000000"/>
                <w:sz w:val="22"/>
                <w:szCs w:val="22"/>
                <w:shd w:val="clear" w:color="auto" w:fill="FAFAFA"/>
              </w:rPr>
              <w:t>6</w:t>
            </w:r>
            <w:r w:rsidRPr="00E94FAB">
              <w:rPr>
                <w:color w:val="000000"/>
                <w:sz w:val="22"/>
                <w:szCs w:val="22"/>
                <w:shd w:val="clear" w:color="auto" w:fill="FAFAFA"/>
              </w:rPr>
              <w:t>.</w:t>
            </w:r>
            <w:r w:rsidRPr="00E94FAB">
              <w:rPr>
                <w:rStyle w:val="apple-converted-space"/>
                <w:color w:val="000000"/>
                <w:sz w:val="22"/>
                <w:szCs w:val="22"/>
                <w:shd w:val="clear" w:color="auto" w:fill="FAFAFA"/>
              </w:rPr>
              <w:t> </w:t>
            </w:r>
          </w:p>
          <w:p w:rsidR="007235E9" w:rsidRPr="00CA4E84" w:rsidRDefault="007235E9" w:rsidP="00D46EEB">
            <w:pPr>
              <w:ind w:left="57" w:right="57"/>
              <w:rPr>
                <w:sz w:val="22"/>
                <w:szCs w:val="22"/>
              </w:rPr>
            </w:pPr>
          </w:p>
        </w:tc>
      </w:tr>
    </w:tbl>
    <w:p w:rsidR="007235E9" w:rsidRDefault="007235E9" w:rsidP="007235E9">
      <w:pPr>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1"/>
      </w:tblGrid>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jc w:val="center"/>
            </w:pPr>
            <w:r>
              <w:t>3. Подпись</w:t>
            </w:r>
          </w:p>
        </w:tc>
      </w:tr>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pPr>
            <w:r>
              <w:t xml:space="preserve">3.1. </w:t>
            </w:r>
            <w:r w:rsidRPr="002D6C05">
              <w:rPr>
                <w:bCs/>
              </w:rPr>
              <w:t xml:space="preserve">Генеральный директор                         </w:t>
            </w:r>
            <w:r w:rsidRPr="002D6C05">
              <w:t xml:space="preserve"> ______________                 </w:t>
            </w:r>
            <w:r>
              <w:t>К.В. Толкачев</w:t>
            </w:r>
          </w:p>
          <w:p w:rsidR="007235E9" w:rsidRDefault="007235E9" w:rsidP="00D46EEB">
            <w:pPr>
              <w:pStyle w:val="prilozhenie"/>
              <w:ind w:firstLine="0"/>
            </w:pPr>
            <w:r>
              <w:t xml:space="preserve">                                                                                  </w:t>
            </w:r>
            <w:r>
              <w:rPr>
                <w:sz w:val="20"/>
                <w:szCs w:val="20"/>
              </w:rPr>
              <w:t>(подпись)</w:t>
            </w:r>
          </w:p>
          <w:p w:rsidR="007235E9" w:rsidRDefault="007235E9" w:rsidP="00D46EEB">
            <w:pPr>
              <w:pStyle w:val="prilozhenie"/>
              <w:ind w:firstLine="0"/>
            </w:pPr>
          </w:p>
          <w:p w:rsidR="007235E9" w:rsidRDefault="00F36D29" w:rsidP="00F36D29">
            <w:pPr>
              <w:pStyle w:val="prilozhenie"/>
              <w:ind w:firstLine="0"/>
              <w:jc w:val="left"/>
            </w:pPr>
            <w:r>
              <w:t>3.2. Дата 12</w:t>
            </w:r>
            <w:r w:rsidR="007235E9">
              <w:t xml:space="preserve"> </w:t>
            </w:r>
            <w:r>
              <w:t>мая</w:t>
            </w:r>
            <w:r w:rsidR="007235E9">
              <w:t xml:space="preserve"> 201</w:t>
            </w:r>
            <w:r>
              <w:t>6</w:t>
            </w:r>
            <w:bookmarkStart w:id="0" w:name="_GoBack"/>
            <w:bookmarkEnd w:id="0"/>
            <w:r w:rsidR="007235E9">
              <w:t xml:space="preserve"> г.                                   </w:t>
            </w:r>
          </w:p>
        </w:tc>
      </w:tr>
    </w:tbl>
    <w:p w:rsidR="007235E9" w:rsidRDefault="007235E9" w:rsidP="007235E9">
      <w:pPr>
        <w:rPr>
          <w:sz w:val="24"/>
          <w:szCs w:val="24"/>
        </w:rPr>
      </w:pPr>
    </w:p>
    <w:p w:rsidR="007235E9" w:rsidRPr="007235E9" w:rsidRDefault="007235E9">
      <w:pPr>
        <w:rPr>
          <w:lang w:val="en-US"/>
        </w:rPr>
      </w:pPr>
    </w:p>
    <w:sectPr w:rsidR="007235E9" w:rsidRPr="00723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E9"/>
    <w:rsid w:val="00647018"/>
    <w:rsid w:val="007235E9"/>
    <w:rsid w:val="00976DE9"/>
    <w:rsid w:val="00A5356C"/>
    <w:rsid w:val="00C15886"/>
    <w:rsid w:val="00F36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ED21F"/>
  <w15:docId w15:val="{C4F9E48E-CEA5-4385-B117-135397CF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class.kalug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98284-B38B-4EBF-B586-203B79DE3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Сергей</cp:lastModifiedBy>
  <cp:revision>2</cp:revision>
  <dcterms:created xsi:type="dcterms:W3CDTF">2015-04-24T11:47:00Z</dcterms:created>
  <dcterms:modified xsi:type="dcterms:W3CDTF">2016-05-25T11:16:00Z</dcterms:modified>
</cp:coreProperties>
</file>