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EAA" w:rsidRPr="00646EAA" w:rsidRDefault="00646EAA" w:rsidP="00646EAA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6E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ПОЯСНЕНИЕ К БУХГАЛТЕРСКОМУ БАЛАНСУ</w:t>
      </w:r>
      <w:r w:rsidR="003C4A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2013 год</w:t>
      </w:r>
      <w:r w:rsidRPr="00646E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ab/>
        <w:t>Открытое акционерное общество «</w:t>
      </w:r>
      <w:proofErr w:type="spell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Племзавод</w:t>
      </w:r>
      <w:proofErr w:type="spellEnd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имени В.Н. Цветкова» расположен по адресу: 249061 Калужская область, </w:t>
      </w:r>
      <w:proofErr w:type="spell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Малоярославецкий</w:t>
      </w:r>
      <w:proofErr w:type="spellEnd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район, п. Кудиново. Находится в </w:t>
      </w:r>
      <w:smartTag w:uri="urn:schemas-microsoft-com:office:smarttags" w:element="metricconverter">
        <w:smartTagPr>
          <w:attr w:name="ProductID" w:val="15 км"/>
        </w:smartTagPr>
        <w:r w:rsidRPr="00646EAA">
          <w:rPr>
            <w:rFonts w:ascii="Times New Roman" w:eastAsia="Times New Roman" w:hAnsi="Times New Roman" w:cs="Times New Roman"/>
            <w:i/>
            <w:sz w:val="24"/>
            <w:szCs w:val="20"/>
            <w:lang w:eastAsia="ru-RU"/>
          </w:rPr>
          <w:t>15 км</w:t>
        </w:r>
      </w:smartTag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от районного центра, в </w:t>
      </w:r>
      <w:smartTag w:uri="urn:schemas-microsoft-com:office:smarttags" w:element="metricconverter">
        <w:smartTagPr>
          <w:attr w:name="ProductID" w:val="75 км"/>
        </w:smartTagPr>
        <w:r w:rsidRPr="00646EAA">
          <w:rPr>
            <w:rFonts w:ascii="Times New Roman" w:eastAsia="Times New Roman" w:hAnsi="Times New Roman" w:cs="Times New Roman"/>
            <w:i/>
            <w:sz w:val="24"/>
            <w:szCs w:val="20"/>
            <w:lang w:eastAsia="ru-RU"/>
          </w:rPr>
          <w:t>75 км</w:t>
        </w:r>
      </w:smartTag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от г. Калуги и в </w:t>
      </w:r>
      <w:smartTag w:uri="urn:schemas-microsoft-com:office:smarttags" w:element="metricconverter">
        <w:smartTagPr>
          <w:attr w:name="ProductID" w:val="136 км"/>
        </w:smartTagPr>
        <w:r w:rsidRPr="00646EAA">
          <w:rPr>
            <w:rFonts w:ascii="Times New Roman" w:eastAsia="Times New Roman" w:hAnsi="Times New Roman" w:cs="Times New Roman"/>
            <w:i/>
            <w:sz w:val="24"/>
            <w:szCs w:val="20"/>
            <w:lang w:eastAsia="ru-RU"/>
          </w:rPr>
          <w:t>136 км</w:t>
        </w:r>
      </w:smartTag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от г. Москвы. По южной границе центрального поселка Кудиново проходит автомагистраль Москва - Брест. С востока и запада в земельные угодья хозяйства вклиниваются лесные массивы. Природные условия хозяйства типичны для Нечерноземной зоны Российской Федерации: суглинистые почвы, умеренно-континентальный климат со среднегодовой температурой воздуха +4,4</w:t>
      </w:r>
      <w:proofErr w:type="gram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С</w:t>
      </w:r>
      <w:proofErr w:type="gramEnd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и годовым количеством осадков 580 - </w:t>
      </w:r>
      <w:smartTag w:uri="urn:schemas-microsoft-com:office:smarttags" w:element="metricconverter">
        <w:smartTagPr>
          <w:attr w:name="ProductID" w:val="600 мм"/>
        </w:smartTagPr>
        <w:r w:rsidRPr="00646EAA">
          <w:rPr>
            <w:rFonts w:ascii="Times New Roman" w:eastAsia="Times New Roman" w:hAnsi="Times New Roman" w:cs="Times New Roman"/>
            <w:i/>
            <w:sz w:val="24"/>
            <w:szCs w:val="20"/>
            <w:lang w:eastAsia="ru-RU"/>
          </w:rPr>
          <w:t>600 мм</w:t>
        </w:r>
      </w:smartTag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, лесистая заболоченная местность, мелкая </w:t>
      </w:r>
      <w:proofErr w:type="spell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контурность</w:t>
      </w:r>
      <w:proofErr w:type="spellEnd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полей.</w:t>
      </w: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ab/>
        <w:t>ОАО «</w:t>
      </w:r>
      <w:proofErr w:type="spell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Племзавод</w:t>
      </w:r>
      <w:proofErr w:type="spellEnd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им. В.Н. Цветкова»  - крупное, многоотраслевое, высокоразвитое сельскохозяйственное предприятие. Общая земельная площадь </w:t>
      </w:r>
      <w:r w:rsidR="005657F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5650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га, в том числе сельскохозяйственных угодий </w:t>
      </w:r>
      <w:r w:rsidR="005657F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3600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га, из них пашни 2</w:t>
      </w:r>
      <w:r w:rsidR="005657F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707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га. Имеется 1</w:t>
      </w:r>
      <w:r w:rsidR="005657F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516 голов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крупного рогатого скота, в том числе </w:t>
      </w:r>
      <w:r w:rsidR="005657F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720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голов коров, 1</w:t>
      </w:r>
      <w:r w:rsidR="005657F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484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голов</w:t>
      </w:r>
      <w:r w:rsidR="005657F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ы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свиней, из них 134 головы  основных  свиноматок. В качестве подсобных отраслей содержится 20  пчелосемей. </w:t>
      </w:r>
    </w:p>
    <w:p w:rsidR="00646EAA" w:rsidRPr="00646EAA" w:rsidRDefault="00646EAA" w:rsidP="00646EA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ОАО «</w:t>
      </w:r>
      <w:proofErr w:type="spell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Племзавод</w:t>
      </w:r>
      <w:proofErr w:type="spellEnd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им. В.Н. Цветкова» создано путем преобразования ТОО «</w:t>
      </w:r>
      <w:proofErr w:type="spell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Племзавода</w:t>
      </w:r>
      <w:proofErr w:type="spellEnd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им. В.Н. Цветкова» и является его правопреемником с 12.01.01 г. свидетельство 40 000125048.</w:t>
      </w:r>
    </w:p>
    <w:p w:rsidR="00646EAA" w:rsidRPr="00646EAA" w:rsidRDefault="00646EAA" w:rsidP="00646EA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Уставный капитал предприятия составляет 68006 рубля.</w:t>
      </w:r>
    </w:p>
    <w:p w:rsidR="00646EAA" w:rsidRPr="00646EAA" w:rsidRDefault="00646EAA" w:rsidP="00646EAA">
      <w:pPr>
        <w:widowControl w:val="0"/>
        <w:autoSpaceDE w:val="0"/>
        <w:autoSpaceDN w:val="0"/>
        <w:adjustRightInd w:val="0"/>
        <w:spacing w:before="480" w:after="8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6E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аффилированных лиц</w:t>
      </w:r>
    </w:p>
    <w:tbl>
      <w:tblPr>
        <w:tblW w:w="9285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05"/>
        <w:gridCol w:w="1000"/>
        <w:gridCol w:w="980"/>
      </w:tblGrid>
      <w:tr w:rsidR="00646EAA" w:rsidRPr="00646EAA" w:rsidTr="005657F7">
        <w:trPr>
          <w:trHeight w:val="1600"/>
        </w:trPr>
        <w:tc>
          <w:tcPr>
            <w:tcW w:w="730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Аффилированное лицо</w:t>
            </w:r>
          </w:p>
        </w:tc>
        <w:tc>
          <w:tcPr>
            <w:tcW w:w="1000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46EAA" w:rsidRPr="00646EAA" w:rsidRDefault="00646EAA" w:rsidP="00646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принадлежащих лицу акций общества</w:t>
            </w:r>
          </w:p>
        </w:tc>
        <w:tc>
          <w:tcPr>
            <w:tcW w:w="980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textDirection w:val="btLr"/>
            <w:vAlign w:val="center"/>
            <w:hideMark/>
          </w:tcPr>
          <w:p w:rsidR="00646EAA" w:rsidRPr="00646EAA" w:rsidRDefault="00646EAA" w:rsidP="00646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Доля лица в уставном капитале общества</w:t>
            </w:r>
          </w:p>
        </w:tc>
      </w:tr>
      <w:tr w:rsidR="00646EAA" w:rsidRPr="00646EAA" w:rsidTr="005657F7">
        <w:tc>
          <w:tcPr>
            <w:tcW w:w="730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ФИО: Воробьев Сергей Алексеевич </w:t>
            </w:r>
          </w:p>
          <w:p w:rsidR="00646EAA" w:rsidRPr="00646EAA" w:rsidRDefault="00646EAA" w:rsidP="0064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жительства: 143075  Московская область, Одинцовский район,  п. </w:t>
            </w:r>
            <w:proofErr w:type="spellStart"/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Чупряково</w:t>
            </w:r>
            <w:proofErr w:type="spellEnd"/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14 кв. 8</w:t>
            </w:r>
          </w:p>
          <w:p w:rsidR="00646EAA" w:rsidRPr="00646EAA" w:rsidRDefault="00646EAA" w:rsidP="0064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Основание: </w:t>
            </w:r>
            <w:r w:rsidRPr="00646E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Лицо является членом Совета директоров (наблюдательного совета) акционерного общества</w:t>
            </w:r>
          </w:p>
          <w:p w:rsidR="00646EAA" w:rsidRPr="00646EAA" w:rsidRDefault="00646EAA" w:rsidP="00646E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наступления основания: 25.06. </w:t>
            </w:r>
            <w:r w:rsidRPr="00646E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EAA" w:rsidRPr="00646EAA" w:rsidRDefault="00646EAA" w:rsidP="0064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0%</w:t>
            </w:r>
          </w:p>
        </w:tc>
      </w:tr>
      <w:tr w:rsidR="00646EAA" w:rsidRPr="00646EAA" w:rsidTr="005657F7">
        <w:tc>
          <w:tcPr>
            <w:tcW w:w="730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ФИО: Мишин Роман Александрович</w:t>
            </w:r>
          </w:p>
          <w:p w:rsidR="00646EAA" w:rsidRPr="00646EAA" w:rsidRDefault="00646EAA" w:rsidP="0064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жительства: 143075  Московская область, Одинцовский район,  п. </w:t>
            </w:r>
            <w:proofErr w:type="spellStart"/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Чупряково</w:t>
            </w:r>
            <w:proofErr w:type="spellEnd"/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14 кв. 8</w:t>
            </w:r>
          </w:p>
          <w:p w:rsidR="00646EAA" w:rsidRPr="00646EAA" w:rsidRDefault="00646EAA" w:rsidP="0064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Основание: </w:t>
            </w:r>
            <w:r w:rsidRPr="00646E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Лицо является членом Совета директоров (наблюдательного совета) акционерного общества</w:t>
            </w:r>
          </w:p>
          <w:p w:rsidR="00646EAA" w:rsidRPr="00646EAA" w:rsidRDefault="00646EAA" w:rsidP="00646E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наступления основания: 25.06. </w:t>
            </w:r>
            <w:r w:rsidRPr="00646E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0%</w:t>
            </w:r>
          </w:p>
        </w:tc>
      </w:tr>
      <w:tr w:rsidR="00646EAA" w:rsidRPr="00646EAA" w:rsidTr="005657F7">
        <w:tc>
          <w:tcPr>
            <w:tcW w:w="730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ФИО: </w:t>
            </w:r>
            <w:proofErr w:type="spellStart"/>
            <w:r w:rsidR="005657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Чернышов</w:t>
            </w:r>
            <w:proofErr w:type="spellEnd"/>
            <w:r w:rsidR="005657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Игорь </w:t>
            </w:r>
            <w:proofErr w:type="spellStart"/>
            <w:r w:rsidR="005657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васильевич</w:t>
            </w:r>
            <w:proofErr w:type="spellEnd"/>
          </w:p>
          <w:p w:rsidR="00646EAA" w:rsidRPr="00646EAA" w:rsidRDefault="00646EAA" w:rsidP="0064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жительства: </w:t>
            </w:r>
            <w:smartTag w:uri="urn:schemas-microsoft-com:office:smarttags" w:element="metricconverter">
              <w:smartTagPr>
                <w:attr w:name="ProductID" w:val="248031 г"/>
              </w:smartTagPr>
              <w:r w:rsidRPr="00646EAA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248031 г</w:t>
              </w:r>
            </w:smartTag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Калуга  ул. Звездная, д. 13, кв. 42</w:t>
            </w:r>
          </w:p>
          <w:p w:rsidR="00646EAA" w:rsidRPr="00646EAA" w:rsidRDefault="00646EAA" w:rsidP="0064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Основание: </w:t>
            </w:r>
            <w:r w:rsidRPr="00646E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Лицо является членом Совета директоров (наблюдательного совета) акционерного общества</w:t>
            </w:r>
          </w:p>
          <w:p w:rsidR="00646EAA" w:rsidRPr="00646EAA" w:rsidRDefault="00646EAA" w:rsidP="005657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наступления основания:</w:t>
            </w:r>
            <w:r w:rsidR="005657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5.06. </w:t>
            </w:r>
            <w:r w:rsidRPr="00646E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201</w:t>
            </w:r>
            <w:r w:rsidR="005657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0%</w:t>
            </w:r>
          </w:p>
        </w:tc>
      </w:tr>
      <w:tr w:rsidR="00646EAA" w:rsidRPr="00646EAA" w:rsidTr="005657F7">
        <w:tc>
          <w:tcPr>
            <w:tcW w:w="730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ФИО: Ковалев Александр Михайлович</w:t>
            </w:r>
          </w:p>
          <w:p w:rsidR="00646EAA" w:rsidRPr="00646EAA" w:rsidRDefault="00646EAA" w:rsidP="0064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жительства: 249076</w:t>
            </w:r>
            <w:r w:rsidRPr="00646E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Калужской области </w:t>
            </w:r>
            <w:proofErr w:type="spellStart"/>
            <w:r w:rsidRPr="00646E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Малоярославецкого</w:t>
            </w:r>
            <w:proofErr w:type="spellEnd"/>
            <w:r w:rsidRPr="00646E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района п. </w:t>
            </w:r>
            <w:proofErr w:type="spellStart"/>
            <w:r w:rsidRPr="00646E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Головтеево</w:t>
            </w:r>
            <w:proofErr w:type="spellEnd"/>
            <w:r w:rsidRPr="00646E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д. 10 кв. 2</w:t>
            </w:r>
          </w:p>
          <w:p w:rsidR="00646EAA" w:rsidRPr="00646EAA" w:rsidRDefault="00646EAA" w:rsidP="0064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Основание: </w:t>
            </w:r>
            <w:r w:rsidRPr="00646E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Лицо является членом Совета директоров (наблюдательного совета) акционерного общества</w:t>
            </w:r>
          </w:p>
          <w:p w:rsidR="00646EAA" w:rsidRPr="00646EAA" w:rsidRDefault="00646EAA" w:rsidP="00646E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наступления основания: 25.06. </w:t>
            </w:r>
            <w:r w:rsidRPr="00646E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0%</w:t>
            </w:r>
          </w:p>
        </w:tc>
      </w:tr>
      <w:tr w:rsidR="00646EAA" w:rsidRPr="00646EAA" w:rsidTr="005657F7">
        <w:tc>
          <w:tcPr>
            <w:tcW w:w="7305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ФИО: </w:t>
            </w:r>
            <w:proofErr w:type="spellStart"/>
            <w:r w:rsidRPr="00646E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Сенцов</w:t>
            </w:r>
            <w:proofErr w:type="spellEnd"/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6E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Владимир</w:t>
            </w:r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6E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Сергеевич</w:t>
            </w:r>
          </w:p>
          <w:p w:rsidR="00646EAA" w:rsidRPr="00646EAA" w:rsidRDefault="00646EAA" w:rsidP="0064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жительства: </w:t>
            </w:r>
            <w:r w:rsidRPr="00646E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п. Кудиново Калужской области </w:t>
            </w:r>
            <w:proofErr w:type="spellStart"/>
            <w:r w:rsidRPr="00646E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Малоярославецкого</w:t>
            </w:r>
            <w:proofErr w:type="spellEnd"/>
            <w:r w:rsidRPr="00646E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района ул. Ветеранов труда д.29, к 21</w:t>
            </w:r>
          </w:p>
          <w:p w:rsidR="00646EAA" w:rsidRPr="00646EAA" w:rsidRDefault="00646EAA" w:rsidP="0064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Основание: </w:t>
            </w:r>
            <w:r w:rsidRPr="00646E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Лицо осуществляет полномочия единоличного исполнительного органа акционерного общества</w:t>
            </w:r>
          </w:p>
          <w:p w:rsidR="00646EAA" w:rsidRPr="00646EAA" w:rsidRDefault="00646EAA" w:rsidP="00646E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наступления основания: 03.07. </w:t>
            </w:r>
            <w:r w:rsidRPr="00646E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646EAA" w:rsidRPr="00646EAA" w:rsidRDefault="005657F7" w:rsidP="00646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4</w:t>
            </w:r>
          </w:p>
          <w:p w:rsidR="00646EAA" w:rsidRPr="00646EAA" w:rsidRDefault="00646EAA" w:rsidP="0064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646EAA" w:rsidRPr="00646EAA" w:rsidRDefault="005657F7" w:rsidP="005657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0,06</w:t>
            </w:r>
            <w:r w:rsidR="00646EAA" w:rsidRPr="00646E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%</w:t>
            </w:r>
          </w:p>
        </w:tc>
      </w:tr>
      <w:tr w:rsidR="00646EAA" w:rsidRPr="00646EAA" w:rsidTr="005657F7">
        <w:tc>
          <w:tcPr>
            <w:tcW w:w="7305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ФИО: Закрытое акционерное общество «Инвестиционная компания» </w:t>
            </w:r>
            <w:proofErr w:type="spellStart"/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Агроинвест</w:t>
            </w:r>
            <w:proofErr w:type="spellEnd"/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646EAA" w:rsidRPr="00646EAA" w:rsidRDefault="00646EAA" w:rsidP="0064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нахождения: </w:t>
            </w:r>
            <w:smartTag w:uri="urn:schemas-microsoft-com:office:smarttags" w:element="metricconverter">
              <w:smartTagPr>
                <w:attr w:name="ProductID" w:val="107139 г"/>
              </w:smartTagPr>
              <w:r w:rsidRPr="00646EAA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107139 г</w:t>
              </w:r>
            </w:smartTag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Москва ул. Садовая </w:t>
            </w:r>
            <w:proofErr w:type="gramStart"/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–С</w:t>
            </w:r>
            <w:proofErr w:type="gramEnd"/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пасская д. 13</w:t>
            </w:r>
            <w:r w:rsidRPr="00646E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  <w:p w:rsidR="00646EAA" w:rsidRPr="00646EAA" w:rsidRDefault="00646EAA" w:rsidP="00646E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наступления основания: 08</w:t>
            </w:r>
            <w:r w:rsidRPr="00646E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.07.2004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646EAA" w:rsidRPr="00646EAA" w:rsidRDefault="005657F7" w:rsidP="00646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33934</w:t>
            </w:r>
          </w:p>
          <w:p w:rsidR="00646EAA" w:rsidRPr="00646EAA" w:rsidRDefault="00646EAA" w:rsidP="0064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49,9%</w:t>
            </w:r>
          </w:p>
        </w:tc>
      </w:tr>
      <w:tr w:rsidR="00646EAA" w:rsidRPr="00646EAA" w:rsidTr="005657F7">
        <w:tc>
          <w:tcPr>
            <w:tcW w:w="7305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ФИО: </w:t>
            </w:r>
            <w:r w:rsidRPr="00646E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Открытое акционерное общество «</w:t>
            </w:r>
            <w:proofErr w:type="spellStart"/>
            <w:r w:rsidRPr="00646E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Агроплемсоюз</w:t>
            </w:r>
            <w:proofErr w:type="spellEnd"/>
            <w:r w:rsidRPr="00646E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»</w:t>
            </w:r>
          </w:p>
          <w:p w:rsidR="00646EAA" w:rsidRPr="00646EAA" w:rsidRDefault="00646EAA" w:rsidP="00646E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нахождения: </w:t>
            </w:r>
            <w:smartTag w:uri="urn:schemas-microsoft-com:office:smarttags" w:element="metricconverter">
              <w:smartTagPr>
                <w:attr w:name="ProductID" w:val="107139 г"/>
              </w:smartTagPr>
              <w:r w:rsidRPr="00646EAA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107139 г</w:t>
              </w:r>
            </w:smartTag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Москва Орликов переулок д. 1/11 стр.13 </w:t>
            </w:r>
            <w:r w:rsidRPr="00646E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  <w:p w:rsidR="00646EAA" w:rsidRPr="00646EAA" w:rsidRDefault="00646EAA" w:rsidP="00646E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наступления основания: 08</w:t>
            </w:r>
            <w:r w:rsidRPr="00646E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.07.2004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646EAA" w:rsidRPr="00646EAA" w:rsidRDefault="005657F7" w:rsidP="00646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17069</w:t>
            </w:r>
          </w:p>
          <w:p w:rsidR="00646EAA" w:rsidRPr="00646EAA" w:rsidRDefault="00646EAA" w:rsidP="0064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646EAA" w:rsidRPr="00646EAA" w:rsidRDefault="005657F7" w:rsidP="005657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</w:t>
            </w:r>
            <w:r w:rsidR="00646EAA" w:rsidRPr="00646E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  <w:r w:rsidR="00646EAA" w:rsidRPr="00646E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%</w:t>
            </w:r>
          </w:p>
        </w:tc>
      </w:tr>
      <w:tr w:rsidR="00646EAA" w:rsidRPr="00646EAA" w:rsidTr="005657F7">
        <w:tc>
          <w:tcPr>
            <w:tcW w:w="7305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ФИО: </w:t>
            </w:r>
            <w:r w:rsidRPr="00646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Российский фонд федерального имущества</w:t>
            </w:r>
          </w:p>
          <w:p w:rsidR="00646EAA" w:rsidRPr="00646EAA" w:rsidRDefault="00646EAA" w:rsidP="0064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нахождения: </w:t>
            </w:r>
            <w:smartTag w:uri="urn:schemas-microsoft-com:office:smarttags" w:element="metricconverter">
              <w:smartTagPr>
                <w:attr w:name="ProductID" w:val="119049, г"/>
              </w:smartTagPr>
              <w:r w:rsidRPr="00646EAA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119049</w:t>
              </w:r>
              <w:r w:rsidRPr="00646EAA">
                <w:rPr>
                  <w:rFonts w:ascii="Times New Roman" w:eastAsia="Times New Roman" w:hAnsi="Times New Roman" w:cs="Times New Roman"/>
                  <w:bCs/>
                  <w:iCs/>
                  <w:sz w:val="20"/>
                  <w:szCs w:val="20"/>
                  <w:lang w:eastAsia="ru-RU"/>
                </w:rPr>
                <w:t>, г</w:t>
              </w:r>
            </w:smartTag>
            <w:r w:rsidRPr="00646EA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. Москва, Ленинский проспект, 9</w:t>
            </w:r>
          </w:p>
          <w:p w:rsidR="00646EAA" w:rsidRPr="00646EAA" w:rsidRDefault="00646EAA" w:rsidP="00646E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наступления основания: 28</w:t>
            </w:r>
            <w:r w:rsidRPr="00646E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.12.2000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4251</w:t>
            </w:r>
          </w:p>
          <w:p w:rsidR="00646EAA" w:rsidRPr="00646EAA" w:rsidRDefault="00646EAA" w:rsidP="0064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6,3%</w:t>
            </w:r>
          </w:p>
        </w:tc>
      </w:tr>
    </w:tbl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EAA" w:rsidRPr="00646EAA" w:rsidRDefault="00646EAA" w:rsidP="00646EA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ab/>
        <w:t>Все аффилированные лица – это лица имеющие не преимущество в наличии наибольшего количества акций, а лица входящие в состав совета директоров, который в течени</w:t>
      </w:r>
      <w:proofErr w:type="gram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и</w:t>
      </w:r>
      <w:proofErr w:type="gramEnd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года решает вопросы по сложным финансовым и производственным вопросам, утверждает планы, квартальные и годовые отчеты.  Во всем акционерном обществе нет лиц, имеющих преимущество в большом выделяющемся среди остальных количестве акций.</w:t>
      </w:r>
    </w:p>
    <w:p w:rsidR="00646EAA" w:rsidRPr="00646EAA" w:rsidRDefault="00646EAA" w:rsidP="00646EAA">
      <w:pPr>
        <w:spacing w:after="0" w:line="240" w:lineRule="auto"/>
        <w:ind w:firstLine="720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>Дочерних и зависимых обществ организация не имеет.</w:t>
      </w:r>
    </w:p>
    <w:p w:rsidR="00646EAA" w:rsidRPr="00646EAA" w:rsidRDefault="00646EAA" w:rsidP="00646EAA">
      <w:pPr>
        <w:spacing w:after="0" w:line="240" w:lineRule="auto"/>
        <w:ind w:firstLine="720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>Предприятие не относится к субъектам малого предпринимательства.</w:t>
      </w:r>
    </w:p>
    <w:p w:rsidR="00646EAA" w:rsidRPr="00646EAA" w:rsidRDefault="00646EAA" w:rsidP="00646EAA">
      <w:pPr>
        <w:spacing w:after="0" w:line="240" w:lineRule="auto"/>
        <w:ind w:firstLine="720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>Бухгалтерский учет в организации осуществляется бухгалтерией как самостоятельным структурным подразделением под руководством главного бухгалтера.</w:t>
      </w:r>
    </w:p>
    <w:p w:rsidR="00646EAA" w:rsidRPr="00646EAA" w:rsidRDefault="00646EAA" w:rsidP="00646EAA">
      <w:pPr>
        <w:spacing w:after="120" w:line="240" w:lineRule="auto"/>
        <w:ind w:right="566"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Ведение бухгалтерского учета ведется в соответствии с Законом РФ «О бухгалтерском учете», Положением по ведению бухгалтерского учета и бухгалтерской отчетности в РФ, утвержденным Приказом Минфина РФ от 29.07.98 № 34н (далее -  Положение по ведению бухгалтерского учета и бухгалтерской отчетности в РФ), Планом счетов бухгалтерского учета финансово-хозяйственной деятельности предприятия и Инструкцией по его применению, утвержденных приказом Минфина РФ от 31.10.2000г. № 94н</w:t>
      </w:r>
      <w:proofErr w:type="gramEnd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(далее -  План счетов бухгалтерского учета), другими действующими нормативными актами в области методологии бухгалтерского учета.</w:t>
      </w:r>
    </w:p>
    <w:p w:rsidR="00646EAA" w:rsidRPr="00646EAA" w:rsidRDefault="00646EAA" w:rsidP="00646EA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РЕЕСТР НОРМАТИВНЫХ ДОКУМЕНТОВ.</w:t>
      </w:r>
    </w:p>
    <w:p w:rsidR="00646EAA" w:rsidRPr="00646EAA" w:rsidRDefault="00646EAA" w:rsidP="00646EAA">
      <w:pPr>
        <w:tabs>
          <w:tab w:val="left" w:pos="142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Гражданский Кодекс Российской Федерации. (Ч.1 </w:t>
      </w:r>
      <w:proofErr w:type="gramStart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введена</w:t>
      </w:r>
      <w:proofErr w:type="gramEnd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 01.01.95г., ч. 2. введена в действие  с 01.01.96г.).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Налоговый кодекс (ч.1 </w:t>
      </w:r>
      <w:proofErr w:type="gramStart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введена</w:t>
      </w:r>
      <w:proofErr w:type="gramEnd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 01.01.99г., ч.2 с 05.08.00 г.)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Закон РФ «Об акционерных обществах» от 26.12.95 г. № 108.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Закон РФ «Об инвестиционной  деятельности в РФ» от 19.06.95г. №89-ФЗ.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Закон РФ «О бухгалтерском учете» от 24.06.98г. № 123 с последующими изменениями.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Положение о ведении учета и отчетности в Российской Федерации (приказ Минфина  РФ от 29.07.98г. №34н..</w:t>
      </w:r>
      <w:proofErr w:type="gramEnd"/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Положение о ведении учета и отчетности в Российской Федерации (приказ Минфина  РФ от 29.07.98г. №34н..</w:t>
      </w:r>
      <w:proofErr w:type="gramEnd"/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Положение  по  бухучету «Учет  договоров   на  капстроительство»: от  20 дек.1994г. № 167  </w:t>
      </w:r>
      <w:proofErr w:type="gramStart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 </w:t>
      </w:r>
      <w:proofErr w:type="gramEnd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ПБУ  2/94 ).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Положение  по  бухучету «Бухгалтерская отчетность организации» </w:t>
      </w: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ym w:font="Symbol" w:char="F028"/>
      </w: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ПБУ</w:t>
      </w:r>
      <w:proofErr w:type="gramStart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</w:t>
      </w:r>
      <w:proofErr w:type="gramEnd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/99 от 06.07.99г. №43н.</w:t>
      </w: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ym w:font="Symbol" w:char="F029"/>
      </w: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Положение по бухучету «Учет материально-производственных запасов» от  24.03.2000г. № 25н  </w:t>
      </w:r>
      <w:proofErr w:type="gramStart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 </w:t>
      </w:r>
      <w:proofErr w:type="gramEnd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ПБУ  5/2000 ).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Положение по бухучету «Учет основных средств»  от 24.03.2000г. № 65н (ПБУ  6 /2000</w:t>
      </w:r>
      <w:proofErr w:type="gramStart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)</w:t>
      </w:r>
      <w:proofErr w:type="gramEnd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Положение по бухучету «События после отчетной даты» </w:t>
      </w: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ym w:font="Symbol" w:char="F020"/>
      </w: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 т  25.11.1998г.  № 56н  </w:t>
      </w:r>
      <w:proofErr w:type="gramStart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 </w:t>
      </w:r>
      <w:proofErr w:type="gramEnd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ПБУ 7/98 ).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Положение по бухучету «Условные факты хозяйственной деятельности»  от  25.11.1998г.  № 57н </w:t>
      </w:r>
      <w:proofErr w:type="gramStart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 </w:t>
      </w:r>
      <w:proofErr w:type="gramEnd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ПБУ 8/98 ).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Положение по бухучету «Доходы   организации»  от  30.12.99г.  № 32н  (ПБУ  9/99</w:t>
      </w:r>
      <w:proofErr w:type="gramStart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)</w:t>
      </w:r>
      <w:proofErr w:type="gramEnd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Положение по бухучету «Расходы   организации» от  30.12.99г.  № 33н  (ПБУ  10/99) 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Положение по бухучету «Аффилированных  лиц» от  13.11.2000г. № 5н (ПБУ  11/2000).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Положение по бухучету «Информация  по  сегментам» от  27.11.2000г.  №11н (ПБУ 12/2000).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Положение по бухучету «Учет  государственной  помощи»  от  16.10.2000г.  № 92н </w:t>
      </w: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 ПБУ 13/2000</w:t>
      </w:r>
      <w:proofErr w:type="gramStart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)</w:t>
      </w:r>
      <w:proofErr w:type="gramEnd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Положение по бухучету «Учет не материальных активов» от 16.10.2000г. №91 н. (ПБУ 14/2000).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План  счетов  бухгалтерского   учета, утв. приказом МФ РФ от 31.10.2000г.  №  94н.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Инструкция по применения бухгалтерских счетов и финансово-хозяйственной деятельности предприятий.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Положение о документах и документообороте в бухгалтерском учете (утв. МФ СССР 29.07.83г. №105).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Методические рекомендации по планированию, учету и </w:t>
      </w:r>
      <w:proofErr w:type="spellStart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калькулированию</w:t>
      </w:r>
      <w:proofErr w:type="spellEnd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себестоимости продукции (работ, услуг) </w:t>
      </w:r>
      <w:proofErr w:type="gramStart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</w:t>
      </w:r>
      <w:proofErr w:type="gramEnd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с/х.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Положение о составе затрат по производству и реализации продукции, включаемых в с/стоимость продукции, и о порядке формирования </w:t>
      </w:r>
      <w:proofErr w:type="spellStart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финрезультатов</w:t>
      </w:r>
      <w:proofErr w:type="spellEnd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учитываемых при налогообложении прибыли (утв. </w:t>
      </w:r>
      <w:proofErr w:type="spellStart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пост</w:t>
      </w:r>
      <w:proofErr w:type="gramStart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.П</w:t>
      </w:r>
      <w:proofErr w:type="gramEnd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равительства</w:t>
      </w:r>
      <w:proofErr w:type="spellEnd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РФ от 31.05.2000г. №661.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Письмо ЦБ РФ «Порядок ведения кассовых операций в РФ» от 04.10.1993г. №18. Рекомендации по осуществлению учреждениями банков проверок соблюдения организациями порядка ведения кассовых операций.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Положение о безналичных расчетах в Российской Федерации от  08.09.2000г. № 120 – П.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Методические указания по инвентаризации имущества и финансовых обязательств (утв. приказом МФ РФ от 13.06.95г. №49.</w:t>
      </w:r>
      <w:proofErr w:type="gramEnd"/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Положение «О порядке проведения инвентаризации имущества налогоплательщиков при налоговой проверке» (утв. приказом МФ и МНС РФ от 10.03.99г. №20н/ГБ –3-04/39.</w:t>
      </w:r>
      <w:proofErr w:type="gramEnd"/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Порядок оценки стоимости чистых активов АО (приказ МФ РФ от 05.08.96г.  № 71/149.</w:t>
      </w:r>
      <w:proofErr w:type="gramEnd"/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Типовые правила контрольно-кассовых машин при осуществлении денежных расчетов с населением (приказ МФРФ от 30.08.93г. №104).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Перечень типовых документов образующихся в деятельности предприятий с указанием сроков хранения (утв. Главным архивным управлением при </w:t>
      </w:r>
      <w:proofErr w:type="gramStart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СМ</w:t>
      </w:r>
      <w:proofErr w:type="gramEnd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СССР от 15.08.88г. с изм.1996г).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Единые нормы амортизационных отчислений на полное   восстановление основных фондов народного хозяйства СССР (утв. пост.</w:t>
      </w:r>
      <w:proofErr w:type="gramEnd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Совета Министров СССР от 22.11.90г. №1072.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Положение о порядке начисления амортизационных отчислений по основным фондам в народном хозяйстве (утв. Госпланом, </w:t>
      </w:r>
      <w:proofErr w:type="spellStart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Миффином</w:t>
      </w:r>
      <w:proofErr w:type="spellEnd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Госбанком, </w:t>
      </w:r>
      <w:proofErr w:type="spellStart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Госкомцен</w:t>
      </w:r>
      <w:proofErr w:type="spellEnd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ЦСУ и Госстроем СССР 29.12.90г. № ВГ-21-Д.).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Порядок проведения переоценки основных фондов в РФ  (утв. Минэкономики, МФ, Госкомстатом РФ от 19.08.92г. № АШ-378/64-102).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Инструкция о порядке выдачи доверенностей  на получение товарно-материальных ценностей и отпуска их по доверенности (утв. Минфином СССР от  14.01.67г. №17).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Инструкция по применению Закона  РСФСР «О плате за землю» (утв. МФ РФ, Роскомземом, ГНС РФ 16.04.1992г. №21).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Инструкция по статистике численности и заработной платы рабочих и служащих на предприятиях</w:t>
      </w:r>
      <w:proofErr w:type="gramStart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proofErr w:type="gramEnd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</w:t>
      </w:r>
      <w:proofErr w:type="gramStart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</w:t>
      </w:r>
      <w:proofErr w:type="gramEnd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тв. Госкомстатом СССР 17.09.1987г. №17-10-0370).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Инструкция о служебных командировках (Постановление </w:t>
      </w:r>
      <w:proofErr w:type="gramStart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СМ</w:t>
      </w:r>
      <w:proofErr w:type="gramEnd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СССР от 18.03.1988г. №351.).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Нормы расходов на рекламу, подготовку кадров и представительских расходов.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Положение по бухучету долгосрочных инвестиций (утв. 30.12.93г. №160).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 отражении в бухучете и отчетности средств на финансирование капитальных вложений (письмо МФ РФ от 18.02.93г. №15).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 компенсации при использовании личного транспорта для производственных нужд.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Инструкции о составе средств направленных на потребление  (утв. ГКС РФ 13.10.92г. №6-3/124).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Инструкция о составе фонда зарплаты и выплат социального характера.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Порядок выплаты  пособий на детей.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Об основных критериях (системе показателей) деятельности экономических субъектов, по </w:t>
      </w:r>
      <w:proofErr w:type="gramStart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котором</w:t>
      </w:r>
      <w:proofErr w:type="gramEnd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их бухгалтерская (финансовая) отчетность подлежит обязательной ежегодной аудиторской проверке. Постановление Правительства РФ от 7 декабря 1994 года № 1355.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Положение о контрактной системе.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Положение об оплате труда.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 определении понятия нового строительства, расширения, реконструкции и технического перевооружения действующих предприятий (Письмо Минфина СССР от 11.02.86г. №30).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Методические рекомендации по бухучету затрат, включаемых в издержки обращения и производства, и финансовых результатов на предприятиях торговли и общественного питания.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Положение  о  правилах  организации  наличного  денежного  обращения  на  территории  Российской  Федерации   от  05.01.1998г. № 14 – П.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Инструкция «О порядке расчетов за перевозки грузов автотранспортом» (утв. МФ РФ от 28.11.97г. №156-30-354/7).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Временная инструкция о порядке удержания алиментов по исполнительным листам (утв. Минюст.</w:t>
      </w:r>
      <w:proofErr w:type="gramEnd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gramStart"/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РФ 10.09.93г. №339).</w:t>
      </w:r>
      <w:proofErr w:type="gramEnd"/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Числовые нормы и нормативы для бухгалтерских расчетов.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Нормы естественной убыли по материалам, продуктам и ГСМ.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 Президента Российской Федерации от 22 декабря 1993 года № 2263 «Об аудиторской деятельности в Российской Федерации».</w:t>
      </w:r>
    </w:p>
    <w:p w:rsidR="00646EAA" w:rsidRPr="00646EAA" w:rsidRDefault="00646EAA" w:rsidP="00646E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 лицензировании отдельных видов деятельности. Постановление Правительства РФ от 24 декабря 1994 года № 1418.</w:t>
      </w:r>
    </w:p>
    <w:p w:rsidR="00646EAA" w:rsidRPr="00646EAA" w:rsidRDefault="00646EAA" w:rsidP="00646EA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646EAA" w:rsidRPr="00646EAA" w:rsidRDefault="00646EAA" w:rsidP="00646EAA">
      <w:pPr>
        <w:spacing w:after="0" w:line="240" w:lineRule="auto"/>
        <w:ind w:firstLine="720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>Предприятие формирует регистры бухгалтерского учета с использованием компьютерной техники и бухгалтерской программы «1</w:t>
      </w:r>
      <w:proofErr w:type="gramStart"/>
      <w:r w:rsidRPr="00646EAA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 xml:space="preserve"> С</w:t>
      </w:r>
      <w:proofErr w:type="gramEnd"/>
      <w:r w:rsidRPr="00646EAA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>».</w:t>
      </w:r>
    </w:p>
    <w:p w:rsidR="00646EAA" w:rsidRPr="00646EAA" w:rsidRDefault="00646EAA" w:rsidP="00646EAA">
      <w:pPr>
        <w:spacing w:after="0" w:line="240" w:lineRule="auto"/>
        <w:ind w:firstLine="720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 xml:space="preserve">Срок полезного использования по основным средствам определяется на основании Классификации основных средств, включаемых в амортизационные группы, утвержденной постановлением Правительства РФ от 1 января </w:t>
      </w:r>
      <w:smartTag w:uri="urn:schemas-microsoft-com:office:smarttags" w:element="metricconverter">
        <w:smartTagPr>
          <w:attr w:name="ProductID" w:val="2002 г"/>
        </w:smartTagPr>
        <w:r w:rsidRPr="00646EAA">
          <w:rPr>
            <w:rFonts w:ascii="Times New Roman" w:eastAsia="Times New Roman" w:hAnsi="Times New Roman" w:cs="Times New Roman"/>
            <w:i/>
            <w:iCs/>
            <w:sz w:val="24"/>
            <w:szCs w:val="20"/>
            <w:lang w:eastAsia="ru-RU"/>
          </w:rPr>
          <w:t>2002 г</w:t>
        </w:r>
      </w:smartTag>
      <w:r w:rsidRPr="00646EAA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>. №1.</w:t>
      </w:r>
    </w:p>
    <w:p w:rsidR="00646EAA" w:rsidRPr="00646EAA" w:rsidRDefault="00646EAA" w:rsidP="00646EAA">
      <w:pPr>
        <w:spacing w:after="0" w:line="240" w:lineRule="auto"/>
        <w:ind w:firstLine="720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>Начисление амортизации по основным средствам ведется линейным способом.</w:t>
      </w:r>
    </w:p>
    <w:p w:rsidR="00646EAA" w:rsidRPr="00646EAA" w:rsidRDefault="00646EAA" w:rsidP="00646EAA">
      <w:pPr>
        <w:spacing w:after="0" w:line="240" w:lineRule="auto"/>
        <w:ind w:firstLine="720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>Малоценные объекты стоимостью не более 40000 рублей, а так же книги списываются в расходы по мере их отпуска в эксплуатацию.</w:t>
      </w:r>
    </w:p>
    <w:p w:rsidR="00646EAA" w:rsidRPr="00646EAA" w:rsidRDefault="00646EAA" w:rsidP="00646EAA">
      <w:pPr>
        <w:spacing w:after="0" w:line="240" w:lineRule="auto"/>
        <w:ind w:firstLine="720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>Ежегодная переоценка основных средств не производится.</w:t>
      </w:r>
    </w:p>
    <w:p w:rsidR="00646EAA" w:rsidRPr="00646EAA" w:rsidRDefault="00646EAA" w:rsidP="00646EAA">
      <w:pPr>
        <w:spacing w:after="0" w:line="240" w:lineRule="auto"/>
        <w:ind w:firstLine="720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>При списании оценка материалов и товаров производится по средней стоимости.</w:t>
      </w:r>
    </w:p>
    <w:p w:rsidR="00646EAA" w:rsidRPr="00646EAA" w:rsidRDefault="00646EAA" w:rsidP="00646EAA">
      <w:pPr>
        <w:spacing w:after="0" w:line="240" w:lineRule="auto"/>
        <w:ind w:firstLine="720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>Предприятие не создает резервы по сомнительным долгам и предстоящих расходов и платежей.</w:t>
      </w:r>
    </w:p>
    <w:p w:rsidR="00646EAA" w:rsidRPr="00646EAA" w:rsidRDefault="00646EAA" w:rsidP="00646EAA">
      <w:pPr>
        <w:spacing w:after="0" w:line="240" w:lineRule="auto"/>
        <w:ind w:firstLine="720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lastRenderedPageBreak/>
        <w:t>В целях признания расходов и доходов при расчете налога на прибыль фирма использует метод оплаты</w:t>
      </w:r>
    </w:p>
    <w:p w:rsidR="00646EAA" w:rsidRPr="00646EAA" w:rsidRDefault="00646EAA" w:rsidP="00646EAA">
      <w:pPr>
        <w:spacing w:after="0" w:line="240" w:lineRule="auto"/>
        <w:ind w:firstLine="720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>При списании оценка материалов и товаров производится по средней стоимости.</w:t>
      </w:r>
    </w:p>
    <w:p w:rsidR="00646EAA" w:rsidRPr="00646EAA" w:rsidRDefault="00646EAA" w:rsidP="00646EAA">
      <w:pPr>
        <w:spacing w:after="0" w:line="240" w:lineRule="auto"/>
        <w:ind w:firstLine="720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 xml:space="preserve">Срок полезного использования по основным средствам определяется на основании Классификации основных средств, включаемых в амортизационные группы, утвержденной постановлением Правительства РФ от 1 января </w:t>
      </w:r>
      <w:smartTag w:uri="urn:schemas-microsoft-com:office:smarttags" w:element="metricconverter">
        <w:smartTagPr>
          <w:attr w:name="ProductID" w:val="2002 г"/>
        </w:smartTagPr>
        <w:r w:rsidRPr="00646EAA">
          <w:rPr>
            <w:rFonts w:ascii="Times New Roman" w:eastAsia="Times New Roman" w:hAnsi="Times New Roman" w:cs="Times New Roman"/>
            <w:i/>
            <w:iCs/>
            <w:sz w:val="24"/>
            <w:szCs w:val="20"/>
            <w:lang w:eastAsia="ru-RU"/>
          </w:rPr>
          <w:t>2002 г</w:t>
        </w:r>
      </w:smartTag>
      <w:r w:rsidRPr="00646EAA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>. №1.</w:t>
      </w:r>
    </w:p>
    <w:p w:rsidR="00646EAA" w:rsidRPr="00646EAA" w:rsidRDefault="00646EAA" w:rsidP="00646EAA">
      <w:pPr>
        <w:spacing w:after="0" w:line="240" w:lineRule="auto"/>
        <w:ind w:right="535" w:firstLine="851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lang w:eastAsia="ru-RU"/>
        </w:rPr>
        <w:t xml:space="preserve"> Расходы </w:t>
      </w:r>
      <w:proofErr w:type="gramStart"/>
      <w:r w:rsidRPr="00646EAA">
        <w:rPr>
          <w:rFonts w:ascii="Times New Roman" w:eastAsia="Times New Roman" w:hAnsi="Times New Roman" w:cs="Times New Roman"/>
          <w:i/>
          <w:sz w:val="24"/>
          <w:lang w:eastAsia="ru-RU"/>
        </w:rPr>
        <w:t>на</w:t>
      </w:r>
      <w:proofErr w:type="gramEnd"/>
      <w:r w:rsidRPr="00646EAA">
        <w:rPr>
          <w:rFonts w:ascii="Times New Roman" w:eastAsia="Times New Roman" w:hAnsi="Times New Roman" w:cs="Times New Roman"/>
          <w:i/>
          <w:sz w:val="24"/>
          <w:lang w:eastAsia="ru-RU"/>
        </w:rPr>
        <w:t xml:space="preserve"> </w:t>
      </w:r>
      <w:proofErr w:type="gramStart"/>
      <w:r w:rsidRPr="00646EAA">
        <w:rPr>
          <w:rFonts w:ascii="Times New Roman" w:eastAsia="Times New Roman" w:hAnsi="Times New Roman" w:cs="Times New Roman"/>
          <w:i/>
          <w:sz w:val="24"/>
          <w:lang w:eastAsia="ru-RU"/>
        </w:rPr>
        <w:t>приобретению</w:t>
      </w:r>
      <w:proofErr w:type="gramEnd"/>
      <w:r w:rsidRPr="00646EAA">
        <w:rPr>
          <w:rFonts w:ascii="Times New Roman" w:eastAsia="Times New Roman" w:hAnsi="Times New Roman" w:cs="Times New Roman"/>
          <w:i/>
          <w:sz w:val="24"/>
          <w:lang w:eastAsia="ru-RU"/>
        </w:rPr>
        <w:t xml:space="preserve"> основных средств принимаются в следующем порядке: </w:t>
      </w:r>
    </w:p>
    <w:p w:rsidR="00646EAA" w:rsidRPr="00646EAA" w:rsidRDefault="00646EAA" w:rsidP="00646EAA">
      <w:pPr>
        <w:numPr>
          <w:ilvl w:val="0"/>
          <w:numId w:val="2"/>
        </w:numPr>
        <w:tabs>
          <w:tab w:val="num" w:pos="900"/>
        </w:tabs>
        <w:spacing w:after="0" w:line="240" w:lineRule="auto"/>
        <w:ind w:right="535" w:firstLine="851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lang w:eastAsia="ru-RU"/>
        </w:rPr>
        <w:t xml:space="preserve">в отношении основных средств, приобретенных налогоплательщиками после перехода на уплату единого сельскохозяйственного налога, - в момент ввода этих основных средств в эксплуатацию; </w:t>
      </w:r>
    </w:p>
    <w:p w:rsidR="00646EAA" w:rsidRPr="00646EAA" w:rsidRDefault="00646EAA" w:rsidP="00646EAA">
      <w:pPr>
        <w:numPr>
          <w:ilvl w:val="0"/>
          <w:numId w:val="2"/>
        </w:numPr>
        <w:spacing w:after="0" w:line="240" w:lineRule="auto"/>
        <w:ind w:right="535" w:firstLine="851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lang w:eastAsia="ru-RU"/>
        </w:rPr>
        <w:t>в отношении основных средств, приобретенных налогоплательщиками до перехода на уплату единого сельскохозяйственного налога, стоимость основных сре</w:t>
      </w:r>
      <w:proofErr w:type="gramStart"/>
      <w:r w:rsidRPr="00646EAA">
        <w:rPr>
          <w:rFonts w:ascii="Times New Roman" w:eastAsia="Times New Roman" w:hAnsi="Times New Roman" w:cs="Times New Roman"/>
          <w:i/>
          <w:sz w:val="24"/>
          <w:lang w:eastAsia="ru-RU"/>
        </w:rPr>
        <w:t>дств вкл</w:t>
      </w:r>
      <w:proofErr w:type="gramEnd"/>
      <w:r w:rsidRPr="00646EAA">
        <w:rPr>
          <w:rFonts w:ascii="Times New Roman" w:eastAsia="Times New Roman" w:hAnsi="Times New Roman" w:cs="Times New Roman"/>
          <w:i/>
          <w:sz w:val="24"/>
          <w:lang w:eastAsia="ru-RU"/>
        </w:rPr>
        <w:t>ючается в расходы на приобретение основных средств в следующем порядке:</w:t>
      </w:r>
    </w:p>
    <w:p w:rsidR="00646EAA" w:rsidRPr="00646EAA" w:rsidRDefault="00646EAA" w:rsidP="00646EAA">
      <w:pPr>
        <w:spacing w:after="0" w:line="240" w:lineRule="auto"/>
        <w:ind w:right="535" w:firstLine="851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lang w:eastAsia="ru-RU"/>
        </w:rPr>
        <w:t>в отношении основных средств со сроком полезного использования до трех лет включительно – в течени</w:t>
      </w:r>
      <w:proofErr w:type="gramStart"/>
      <w:r w:rsidRPr="00646EAA">
        <w:rPr>
          <w:rFonts w:ascii="Times New Roman" w:eastAsia="Times New Roman" w:hAnsi="Times New Roman" w:cs="Times New Roman"/>
          <w:i/>
          <w:sz w:val="24"/>
          <w:lang w:eastAsia="ru-RU"/>
        </w:rPr>
        <w:t>и</w:t>
      </w:r>
      <w:proofErr w:type="gramEnd"/>
      <w:r w:rsidRPr="00646EAA">
        <w:rPr>
          <w:rFonts w:ascii="Times New Roman" w:eastAsia="Times New Roman" w:hAnsi="Times New Roman" w:cs="Times New Roman"/>
          <w:i/>
          <w:sz w:val="24"/>
          <w:lang w:eastAsia="ru-RU"/>
        </w:rPr>
        <w:t xml:space="preserve"> первого года уплаты единого сельскохозяйственного налога;</w:t>
      </w:r>
    </w:p>
    <w:p w:rsidR="00646EAA" w:rsidRPr="00646EAA" w:rsidRDefault="00646EAA" w:rsidP="00646EAA">
      <w:pPr>
        <w:spacing w:after="0" w:line="240" w:lineRule="auto"/>
        <w:ind w:right="535" w:firstLine="851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lang w:eastAsia="ru-RU"/>
        </w:rPr>
        <w:t>в отношении основных средств со сроком полезного использования от трех до пятнадцати лет включительно: в течени</w:t>
      </w:r>
      <w:proofErr w:type="gramStart"/>
      <w:r w:rsidRPr="00646EAA">
        <w:rPr>
          <w:rFonts w:ascii="Times New Roman" w:eastAsia="Times New Roman" w:hAnsi="Times New Roman" w:cs="Times New Roman"/>
          <w:i/>
          <w:sz w:val="24"/>
          <w:lang w:eastAsia="ru-RU"/>
        </w:rPr>
        <w:t>и</w:t>
      </w:r>
      <w:proofErr w:type="gramEnd"/>
      <w:r w:rsidRPr="00646EAA">
        <w:rPr>
          <w:rFonts w:ascii="Times New Roman" w:eastAsia="Times New Roman" w:hAnsi="Times New Roman" w:cs="Times New Roman"/>
          <w:i/>
          <w:sz w:val="24"/>
          <w:lang w:eastAsia="ru-RU"/>
        </w:rPr>
        <w:t xml:space="preserve"> первого года уплаты единого сельскохозяйственного налога – 50 процентов стоимости, второго года –30 процентов стоимости и третьего года –20 процентов стоимости;</w:t>
      </w:r>
    </w:p>
    <w:p w:rsidR="00646EAA" w:rsidRPr="00646EAA" w:rsidRDefault="00646EAA" w:rsidP="00646EAA">
      <w:pPr>
        <w:spacing w:after="0" w:line="240" w:lineRule="auto"/>
        <w:ind w:right="535" w:firstLine="851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lang w:eastAsia="ru-RU"/>
        </w:rPr>
        <w:t>в отношении основных средств со сроком полезного использования свыше 15 лет – в течени</w:t>
      </w:r>
      <w:proofErr w:type="gramStart"/>
      <w:r w:rsidRPr="00646EAA">
        <w:rPr>
          <w:rFonts w:ascii="Times New Roman" w:eastAsia="Times New Roman" w:hAnsi="Times New Roman" w:cs="Times New Roman"/>
          <w:i/>
          <w:sz w:val="24"/>
          <w:lang w:eastAsia="ru-RU"/>
        </w:rPr>
        <w:t>и</w:t>
      </w:r>
      <w:proofErr w:type="gramEnd"/>
      <w:r w:rsidRPr="00646EAA">
        <w:rPr>
          <w:rFonts w:ascii="Times New Roman" w:eastAsia="Times New Roman" w:hAnsi="Times New Roman" w:cs="Times New Roman"/>
          <w:i/>
          <w:sz w:val="24"/>
          <w:lang w:eastAsia="ru-RU"/>
        </w:rPr>
        <w:t xml:space="preserve"> 10 лет после перехода на уплату единого сельскохозяйственного налога равными долями от стоимости основных средств.</w:t>
      </w:r>
    </w:p>
    <w:p w:rsidR="00646EAA" w:rsidRPr="00646EAA" w:rsidRDefault="00646EAA" w:rsidP="00646EAA">
      <w:pPr>
        <w:spacing w:after="0" w:line="240" w:lineRule="auto"/>
        <w:ind w:right="535" w:firstLine="851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lang w:eastAsia="ru-RU"/>
        </w:rPr>
        <w:t>Стоимость основных сре</w:t>
      </w:r>
      <w:proofErr w:type="gramStart"/>
      <w:r w:rsidRPr="00646EAA">
        <w:rPr>
          <w:rFonts w:ascii="Times New Roman" w:eastAsia="Times New Roman" w:hAnsi="Times New Roman" w:cs="Times New Roman"/>
          <w:i/>
          <w:sz w:val="24"/>
          <w:lang w:eastAsia="ru-RU"/>
        </w:rPr>
        <w:t>дств пр</w:t>
      </w:r>
      <w:proofErr w:type="gramEnd"/>
      <w:r w:rsidRPr="00646EAA">
        <w:rPr>
          <w:rFonts w:ascii="Times New Roman" w:eastAsia="Times New Roman" w:hAnsi="Times New Roman" w:cs="Times New Roman"/>
          <w:i/>
          <w:sz w:val="24"/>
          <w:lang w:eastAsia="ru-RU"/>
        </w:rPr>
        <w:t>инимается равной остаточной стоимости этого имущества на момент перехода на уплату единого сельскохозяйственного налога.</w:t>
      </w:r>
    </w:p>
    <w:p w:rsidR="00646EAA" w:rsidRPr="00646EAA" w:rsidRDefault="00646EAA" w:rsidP="00646EAA">
      <w:pPr>
        <w:spacing w:after="0" w:line="240" w:lineRule="auto"/>
        <w:ind w:right="535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lang w:eastAsia="ru-RU"/>
        </w:rPr>
        <w:t xml:space="preserve">             Предприятие </w:t>
      </w:r>
      <w:proofErr w:type="gramStart"/>
      <w:r w:rsidRPr="00646EAA">
        <w:rPr>
          <w:rFonts w:ascii="Times New Roman" w:eastAsia="Times New Roman" w:hAnsi="Times New Roman" w:cs="Times New Roman"/>
          <w:i/>
          <w:sz w:val="24"/>
          <w:lang w:eastAsia="ru-RU"/>
        </w:rPr>
        <w:t>разработало учетную политику по ведению бухгалтерского учета как можно сближая</w:t>
      </w:r>
      <w:proofErr w:type="gramEnd"/>
      <w:r w:rsidRPr="00646EAA">
        <w:rPr>
          <w:rFonts w:ascii="Times New Roman" w:eastAsia="Times New Roman" w:hAnsi="Times New Roman" w:cs="Times New Roman"/>
          <w:i/>
          <w:sz w:val="24"/>
          <w:lang w:eastAsia="ru-RU"/>
        </w:rPr>
        <w:t xml:space="preserve"> налоговый учет, а корректировка для составления декларации по налогу на прибыль ведется бухгалтером вручную. </w:t>
      </w:r>
    </w:p>
    <w:p w:rsidR="00646EAA" w:rsidRPr="00646EAA" w:rsidRDefault="00646EAA" w:rsidP="00646EAA">
      <w:pPr>
        <w:spacing w:after="0" w:line="240" w:lineRule="auto"/>
        <w:ind w:firstLine="720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</w:p>
    <w:p w:rsidR="00646EAA" w:rsidRPr="00646EAA" w:rsidRDefault="00646EAA" w:rsidP="00646EA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В 201</w:t>
      </w:r>
      <w:r w:rsidR="00704CD0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3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году было посеяно </w:t>
      </w:r>
      <w:smartTag w:uri="urn:schemas-microsoft-com:office:smarttags" w:element="metricconverter">
        <w:smartTagPr>
          <w:attr w:name="ProductID" w:val="1200 га"/>
        </w:smartTagPr>
        <w:r w:rsidRPr="00646EAA">
          <w:rPr>
            <w:rFonts w:ascii="Times New Roman" w:eastAsia="Times New Roman" w:hAnsi="Times New Roman" w:cs="Times New Roman"/>
            <w:i/>
            <w:sz w:val="24"/>
            <w:szCs w:val="20"/>
            <w:lang w:eastAsia="ru-RU"/>
          </w:rPr>
          <w:t>1200 га</w:t>
        </w:r>
      </w:smartTag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зерновых  и получено 30</w:t>
      </w:r>
      <w:r w:rsidR="00704CD0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47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</w:t>
      </w:r>
      <w:proofErr w:type="spell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тн</w:t>
      </w:r>
      <w:proofErr w:type="spellEnd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зерна, что </w:t>
      </w:r>
      <w:r w:rsidR="00704CD0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на уровне 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прошлого года; 2</w:t>
      </w:r>
      <w:r w:rsidR="00704CD0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0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га картофеля и получено </w:t>
      </w:r>
      <w:r w:rsidR="00704CD0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542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 </w:t>
      </w:r>
      <w:proofErr w:type="spell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тн</w:t>
      </w:r>
      <w:proofErr w:type="spellEnd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, что</w:t>
      </w:r>
      <w:r w:rsidR="00704CD0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так же на уровне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прошлого года,  5</w:t>
      </w:r>
      <w:r w:rsidR="00704CD0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26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 га сенокосов и получено 1</w:t>
      </w:r>
      <w:r w:rsidR="00704CD0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179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 </w:t>
      </w:r>
      <w:proofErr w:type="spell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тн</w:t>
      </w:r>
      <w:proofErr w:type="spellEnd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сена на 1</w:t>
      </w:r>
      <w:r w:rsidR="00704CD0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4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% </w:t>
      </w:r>
      <w:r w:rsidR="00704CD0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ниже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 уровня   прошлого года, в связи со сложными погодными условиями, </w:t>
      </w:r>
      <w:r w:rsidR="00704CD0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1,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5 </w:t>
      </w:r>
      <w:proofErr w:type="spell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тн</w:t>
      </w:r>
      <w:proofErr w:type="spellEnd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семян трав, 13</w:t>
      </w:r>
      <w:r w:rsidR="00704CD0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371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 </w:t>
      </w:r>
      <w:proofErr w:type="spell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тн</w:t>
      </w:r>
      <w:proofErr w:type="spellEnd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зеленой </w:t>
      </w:r>
      <w:proofErr w:type="gram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массы</w:t>
      </w:r>
      <w:proofErr w:type="gramEnd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- из которой было приготовлено </w:t>
      </w:r>
      <w:r w:rsidR="00704CD0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7299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 </w:t>
      </w:r>
      <w:proofErr w:type="spell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тн</w:t>
      </w:r>
      <w:proofErr w:type="spellEnd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силоса, что на </w:t>
      </w:r>
      <w:r w:rsidR="00704CD0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9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% больше против прошлого года  и 1</w:t>
      </w:r>
      <w:r w:rsidR="00704CD0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075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 </w:t>
      </w:r>
      <w:proofErr w:type="spell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тн</w:t>
      </w:r>
      <w:proofErr w:type="spellEnd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сенажа, что на </w:t>
      </w:r>
      <w:r w:rsidR="00704CD0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14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% меньше прошлого года. Хотя сенажа  заготовили  на </w:t>
      </w:r>
      <w:r w:rsidR="00704CD0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14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% меньше, но силос, сено и зерновые культуры компенсируют недостаток кормовых единиц. 29</w:t>
      </w:r>
      <w:r w:rsidR="00D908B4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82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 </w:t>
      </w:r>
      <w:proofErr w:type="spell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тн</w:t>
      </w:r>
      <w:proofErr w:type="spellEnd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было скормлено скоту зеленой массой. </w:t>
      </w: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ab/>
        <w:t>Благодаря своей кормовой базе животноводство будет обеспечено кор</w:t>
      </w:r>
      <w:r w:rsidR="00B31935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мами на весь год. Произведено 330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1 </w:t>
      </w:r>
      <w:proofErr w:type="spell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тн</w:t>
      </w:r>
      <w:proofErr w:type="spellEnd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молока, средний надой молока на корову составляет </w:t>
      </w:r>
      <w:r w:rsidR="00B31935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4826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кг, получено  телят от коров и нетелей </w:t>
      </w:r>
      <w:r w:rsidR="00B31935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491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голов</w:t>
      </w:r>
      <w:r w:rsidR="00B31935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а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, что составляет </w:t>
      </w:r>
      <w:r w:rsidR="00B31935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76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,</w:t>
      </w:r>
      <w:r w:rsidR="00B31935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6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% на 100 голов  и привеса КРС </w:t>
      </w:r>
      <w:r w:rsidR="00B31935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106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</w:t>
      </w:r>
      <w:proofErr w:type="spell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тн</w:t>
      </w:r>
      <w:proofErr w:type="spellEnd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. Получено </w:t>
      </w:r>
      <w:r w:rsidR="00B31935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1632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 головы поросят,  выход поросят на одну основную свиноматку 11 голов  и </w:t>
      </w:r>
      <w:r w:rsidR="00B31935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41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 </w:t>
      </w:r>
      <w:proofErr w:type="spell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тн</w:t>
      </w:r>
      <w:proofErr w:type="spellEnd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привеса, привесы конечно маленькие, так как скот реализуется молодняком сразу после отъема. Хозяйство вынуждено это делать, потому что реализация мяса несет большие убытки, так как себестоимость большая, а цена реализации на рынке сбыта низкая. А племенное поголовье заказывают намного меньше против прошлых лет, в основном у сельскохозяйственных предприятий нет свободных денежных средств.</w:t>
      </w: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lastRenderedPageBreak/>
        <w:tab/>
        <w:t>ОАО «</w:t>
      </w:r>
      <w:proofErr w:type="spell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Племзавод</w:t>
      </w:r>
      <w:proofErr w:type="spellEnd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имени В.Н. Цветкова» реализовало за 201</w:t>
      </w:r>
      <w:r w:rsidR="00B31935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3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год: </w:t>
      </w:r>
      <w:r w:rsidR="00B31935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842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</w:t>
      </w:r>
      <w:proofErr w:type="spell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тн</w:t>
      </w:r>
      <w:proofErr w:type="spellEnd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картофеля, 2</w:t>
      </w:r>
      <w:r w:rsidR="00B31935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732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 </w:t>
      </w:r>
      <w:proofErr w:type="spell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тн</w:t>
      </w:r>
      <w:proofErr w:type="spellEnd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зерна, </w:t>
      </w:r>
      <w:r w:rsidR="00B31935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40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</w:t>
      </w:r>
      <w:proofErr w:type="spell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тн</w:t>
      </w:r>
      <w:proofErr w:type="spellEnd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КРС, </w:t>
      </w:r>
      <w:r w:rsidR="00B31935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106 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</w:t>
      </w:r>
      <w:proofErr w:type="spell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тн</w:t>
      </w:r>
      <w:proofErr w:type="spellEnd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свиней, </w:t>
      </w:r>
      <w:r w:rsidR="00B31935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3164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</w:t>
      </w:r>
      <w:proofErr w:type="spell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тн</w:t>
      </w:r>
      <w:proofErr w:type="spellEnd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молока. Поставки осуществляли по Калужской области, в г. Москву и Московскую область.</w:t>
      </w: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ab/>
        <w:t>Стоимость основных средств составляет 3</w:t>
      </w:r>
      <w:r w:rsidR="00B31935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99178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 т. руб., из них здания </w:t>
      </w:r>
      <w:r w:rsidR="00B31935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и сооружения 212083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 т. руб., машины и оборудование </w:t>
      </w:r>
      <w:r w:rsidR="00B31935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89661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 т. руб., транспортные средства </w:t>
      </w:r>
      <w:r w:rsidR="00B31935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20432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 т. руб., продуктивный скот </w:t>
      </w:r>
      <w:r w:rsidR="00B31935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55085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 т. руб., земельные участки 2</w:t>
      </w:r>
      <w:r w:rsidR="00B5735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1917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т. руб.  Численность рабочих в среднем за 201</w:t>
      </w:r>
      <w:r w:rsidR="00B5735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3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 год составила 1</w:t>
      </w:r>
      <w:r w:rsidR="00B5735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53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человек</w:t>
      </w:r>
      <w:r w:rsidR="00B5735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а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.</w:t>
      </w: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ab/>
        <w:t>В хозяйстве высокая энерговооруженность и общие энергетические мощности. Они составляют 1</w:t>
      </w:r>
      <w:r w:rsidR="00B5735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1894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</w:t>
      </w:r>
      <w:proofErr w:type="spell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л.</w:t>
      </w:r>
      <w:proofErr w:type="gram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с</w:t>
      </w:r>
      <w:proofErr w:type="spellEnd"/>
      <w:proofErr w:type="gramEnd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., или </w:t>
      </w:r>
      <w:proofErr w:type="gram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в</w:t>
      </w:r>
      <w:proofErr w:type="gramEnd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расчете на одного работающего приходится 7</w:t>
      </w:r>
      <w:r w:rsidR="00B5735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7,7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</w:t>
      </w:r>
      <w:proofErr w:type="spell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л.с</w:t>
      </w:r>
      <w:proofErr w:type="spellEnd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. В хозяйстве 3</w:t>
      </w:r>
      <w:r w:rsidR="00B5735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4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трактора различных марок, </w:t>
      </w:r>
      <w:r w:rsidR="00B5735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32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единиц</w:t>
      </w:r>
      <w:r w:rsidR="00B5735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ы 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автомашин, автобусов и </w:t>
      </w:r>
      <w:r w:rsidR="00B5735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6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зерновых комбайнов, осуществлена комплексная механизация животноводства, послеуборочной доработки зерна. На фермах, в мастерских и других производственных помещениях установлено около 1 тыс. электродвигателей.</w:t>
      </w: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ab/>
        <w:t xml:space="preserve">Хозяйство, как уже отмечалось, специализируется на разведении свиней породы </w:t>
      </w:r>
      <w:proofErr w:type="spell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ландрас</w:t>
      </w:r>
      <w:proofErr w:type="spellEnd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, молодняке КРС  и продаже племенного </w:t>
      </w:r>
      <w:r w:rsidR="00B5735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скота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. В 201</w:t>
      </w:r>
      <w:r w:rsidR="00B5735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3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году было реализовано </w:t>
      </w:r>
      <w:r w:rsidR="00B5735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11 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голо</w:t>
      </w:r>
      <w:r w:rsidR="00B5735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в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КРС на сумму </w:t>
      </w:r>
      <w:r w:rsidR="00B5735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389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тыс. рублей, что сравнительно на уровне    прошлого года.  Хозяйство могло бы продать и намного больше племенного скота, но все это объясняется нехваткой денежных средств у покупателей, а мы вынуждены племенной скот продавать как товарную продукцию на мясокомбинаты или же молодняком сразу после отъема, что крайне не выгодно.</w:t>
      </w: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ab/>
        <w:t>Низкие закупочные цены на молоко, мясо, племенной скот и непомерно высокие цены на с/х технику, оборудование животноводческих ферм, ГСМ, энергоносители - все это ставит хозяйство в крайне тяжелое финансовое положение.</w:t>
      </w: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ab/>
        <w:t>В хозяйстве ведутся оздоровительные мероприятия по лейкозу, разработан план мероприятий по оздоровлению животных от лейкоза, производятся исследования животных.</w:t>
      </w: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ab/>
        <w:t>Ежеквартальное биохимическое исследование крови коров, нетелей, молодняка КРС, а также свиней показало на нарушение обмена веществ в организме животных. В крови животных не хватает кальция, фосфора, понижена резервная щелочность организма, не хватает каротина и белка.</w:t>
      </w: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ab/>
        <w:t>Затраты на медикаменты и медицинские инструменты за 201</w:t>
      </w:r>
      <w:r w:rsidR="00B5735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3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год составили </w:t>
      </w:r>
      <w:r w:rsidR="00B5735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999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тыс. рублей. Дороговизна стоимости медикаментов, зооветеринарного оборудования, новой техники и отсутствие средств на их приобретение, все это затрудняет выращивание племенного скота и  ведет к падежу животных, вынужденному забою, </w:t>
      </w:r>
      <w:proofErr w:type="spell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недополучению</w:t>
      </w:r>
      <w:proofErr w:type="spellEnd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молодняка. За 201</w:t>
      </w:r>
      <w:r w:rsidR="00B5735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3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год падеж животных составил: </w:t>
      </w:r>
      <w:proofErr w:type="gram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КРС - 1</w:t>
      </w:r>
      <w:r w:rsidR="00B5735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1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голов на сумму </w:t>
      </w:r>
      <w:r w:rsidR="00B5735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720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тыс. руб.  и вынужденный забой  скота </w:t>
      </w:r>
      <w:r w:rsidR="00B5735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215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 головы на сумму 5</w:t>
      </w:r>
      <w:r w:rsidR="00B5735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979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тыс. руб., мясо от вынужденного забоя было реализовано на корм животным на сумму </w:t>
      </w:r>
      <w:r w:rsidR="00B5735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264 тыс. рублей, падеж свиней - 146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голов на сумму </w:t>
      </w:r>
      <w:r w:rsidR="00B5735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828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тыс. </w:t>
      </w:r>
      <w:proofErr w:type="spell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руб</w:t>
      </w:r>
      <w:proofErr w:type="spellEnd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,,  что составляет ущерб 726</w:t>
      </w:r>
      <w:r w:rsidR="00B5735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3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 тыс. руб.,  данная ситуация сложилась в связи с тем, что  мясокомбинаты не стали брать</w:t>
      </w:r>
      <w:proofErr w:type="gramEnd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выбракованный скот, приходится забивать в хозяйстве, а цены на такое мясо очень низкие. </w:t>
      </w: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ab/>
        <w:t xml:space="preserve">В </w:t>
      </w:r>
      <w:proofErr w:type="gram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хозяйстве</w:t>
      </w:r>
      <w:proofErr w:type="gramEnd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несмотря на перечисленные трудности проводятся мероприятия исходя из возможности по балансировке рациона кормов. Производится текущий ремонт своими силами блоков на молочном комплексе, МТФ </w:t>
      </w:r>
      <w:proofErr w:type="gram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Юрьевское</w:t>
      </w:r>
      <w:proofErr w:type="gramEnd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,  проведена реконструкция коровника </w:t>
      </w:r>
      <w:proofErr w:type="spell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Тиняковского</w:t>
      </w:r>
      <w:proofErr w:type="spellEnd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комплекса.  Объем капитальных вложений за 201</w:t>
      </w:r>
      <w:r w:rsidR="00497F3F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3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год составил 5</w:t>
      </w:r>
      <w:r w:rsidR="00497F3F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2458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 тыс. рублей, в том числе энергетика - </w:t>
      </w:r>
      <w:r w:rsidR="00497F3F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31086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тыс. рублей. Анализируя цифры предыдущего </w:t>
      </w:r>
      <w:proofErr w:type="gram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года</w:t>
      </w:r>
      <w:proofErr w:type="gramEnd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видим, что капитальные вложения производятся за счет  кредитов банка</w:t>
      </w:r>
      <w:r w:rsidR="00497F3F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и займов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, но все же  отсутствие свободных денежных средств в хозяйстве отрицательно влияет на капитальное строительство, на проведение капитального ремонта. Капитальное строительство, которое в стадии незавершенного производства и велось в основном подрядным способом, оказалось на грани остановки.</w:t>
      </w: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lastRenderedPageBreak/>
        <w:tab/>
        <w:t>В настоящее время нужно проводить капитальный ремонт дорог, животноводческих помещений, водопроводов, что крайне необходимо для производства племенного скота. Необходимы бюджетные ассигнования, но в течени</w:t>
      </w:r>
      <w:proofErr w:type="gram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и</w:t>
      </w:r>
      <w:proofErr w:type="gramEnd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уже 10  лет на капитальный ремонт средства не выделяются.</w:t>
      </w: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ab/>
        <w:t>Цех механизации в течени</w:t>
      </w:r>
      <w:proofErr w:type="gram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и</w:t>
      </w:r>
      <w:proofErr w:type="gramEnd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201</w:t>
      </w:r>
      <w:r w:rsidR="00497F3F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3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года выполнял поставленные задачи своевременно. В хозяйстве </w:t>
      </w:r>
      <w:r w:rsidR="00497F3F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3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0 % автомашин и тракторов требуется заменить. Дороговизна стоимости агрегатов, запасных частей, ГСМ приводит к огромным затратам на содержание машинно-тракторного парка, а также не соответствует нашим реальным запросам для нормального ремонта техники. Многие узлы агрегатов используются из списанной техники, монтируются на используемые агрегаты после ремонта в </w:t>
      </w:r>
      <w:proofErr w:type="spell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мехмастерских</w:t>
      </w:r>
      <w:proofErr w:type="spellEnd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.</w:t>
      </w:r>
      <w:r w:rsidR="00497F3F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На новую же технику высокие цены на техобслуживание.</w:t>
      </w:r>
    </w:p>
    <w:p w:rsidR="00646EAA" w:rsidRPr="00646EAA" w:rsidRDefault="00646EAA" w:rsidP="00646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Рассмотрение финансовой устойчивости начнем с анализа динамики основных показателей финансовых результатов </w:t>
      </w:r>
      <w:proofErr w:type="spell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Племзавода</w:t>
      </w:r>
      <w:proofErr w:type="spellEnd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за  201</w:t>
      </w:r>
      <w:r w:rsidR="00497F3F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2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, 201</w:t>
      </w:r>
      <w:r w:rsidR="00497F3F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3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годы. </w:t>
      </w: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Таблица № 1.</w:t>
      </w: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tbl>
      <w:tblPr>
        <w:tblW w:w="80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484"/>
        <w:gridCol w:w="1501"/>
        <w:gridCol w:w="1501"/>
        <w:gridCol w:w="1524"/>
      </w:tblGrid>
      <w:tr w:rsidR="00646EAA" w:rsidRPr="00646EAA" w:rsidTr="00646EAA"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Показатель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2012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497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201</w:t>
            </w:r>
            <w:r w:rsidR="00497F3F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497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201</w:t>
            </w:r>
            <w:r w:rsidR="00497F3F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3</w:t>
            </w: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 к 2012</w:t>
            </w:r>
          </w:p>
        </w:tc>
      </w:tr>
      <w:tr w:rsidR="00646EAA" w:rsidRPr="00646EAA" w:rsidTr="00646EAA"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Выручка от реализации продукции, </w:t>
            </w:r>
            <w:proofErr w:type="spellStart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тыс</w:t>
            </w:r>
            <w:proofErr w:type="gramStart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.р</w:t>
            </w:r>
            <w:proofErr w:type="gramEnd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уб</w:t>
            </w:r>
            <w:proofErr w:type="spellEnd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85567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497F3F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143930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497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+1,</w:t>
            </w:r>
            <w:r w:rsidR="00497F3F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7</w:t>
            </w:r>
          </w:p>
        </w:tc>
      </w:tr>
      <w:tr w:rsidR="00646EAA" w:rsidRPr="00646EAA" w:rsidTr="00646EAA"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Себестоимость реализованной продукции, </w:t>
            </w:r>
            <w:proofErr w:type="spellStart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тыс</w:t>
            </w:r>
            <w:proofErr w:type="gramStart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.р</w:t>
            </w:r>
            <w:proofErr w:type="gramEnd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уб</w:t>
            </w:r>
            <w:proofErr w:type="spellEnd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100912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497F3F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106169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497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+1,</w:t>
            </w:r>
            <w:r w:rsidR="00497F3F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05</w:t>
            </w:r>
          </w:p>
        </w:tc>
      </w:tr>
      <w:tr w:rsidR="00646EAA" w:rsidRPr="00646EAA" w:rsidTr="00646EAA"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Прибыль (+), убытк</w:t>
            </w:r>
            <w:proofErr w:type="gramStart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и(</w:t>
            </w:r>
            <w:proofErr w:type="gramEnd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-) от реализации, </w:t>
            </w:r>
            <w:proofErr w:type="spellStart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тыс.руб</w:t>
            </w:r>
            <w:proofErr w:type="spellEnd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-15345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497F3F" w:rsidP="00497F3F">
            <w:pPr>
              <w:tabs>
                <w:tab w:val="left" w:pos="99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37761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497F3F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+4,4</w:t>
            </w:r>
          </w:p>
        </w:tc>
      </w:tr>
      <w:tr w:rsidR="00646EAA" w:rsidRPr="00646EAA" w:rsidTr="00646EAA"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Прочие доходы, </w:t>
            </w:r>
            <w:proofErr w:type="spellStart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тыс</w:t>
            </w:r>
            <w:proofErr w:type="gramStart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.р</w:t>
            </w:r>
            <w:proofErr w:type="gramEnd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уб</w:t>
            </w:r>
            <w:proofErr w:type="spellEnd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39961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497F3F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78800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497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+2,</w:t>
            </w:r>
            <w:r w:rsidR="00497F3F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0</w:t>
            </w:r>
          </w:p>
        </w:tc>
      </w:tr>
      <w:tr w:rsidR="00646EAA" w:rsidRPr="00646EAA" w:rsidTr="00646EAA"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Прочие расходы, </w:t>
            </w:r>
            <w:proofErr w:type="spellStart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тыс</w:t>
            </w:r>
            <w:proofErr w:type="gramStart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.р</w:t>
            </w:r>
            <w:proofErr w:type="gramEnd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уб</w:t>
            </w:r>
            <w:proofErr w:type="spellEnd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24219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497F3F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57640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497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+</w:t>
            </w:r>
            <w:r w:rsidR="00497F3F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2</w:t>
            </w: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,4</w:t>
            </w:r>
          </w:p>
        </w:tc>
      </w:tr>
      <w:tr w:rsidR="00646EAA" w:rsidRPr="00646EAA" w:rsidTr="00646EAA"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Дотации и компенсации, </w:t>
            </w:r>
            <w:proofErr w:type="spellStart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тыс</w:t>
            </w:r>
            <w:proofErr w:type="gramStart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.р</w:t>
            </w:r>
            <w:proofErr w:type="gramEnd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уб</w:t>
            </w:r>
            <w:proofErr w:type="spellEnd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31267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497F3F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23050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497F3F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-0,7</w:t>
            </w:r>
          </w:p>
        </w:tc>
      </w:tr>
      <w:tr w:rsidR="00646EAA" w:rsidRPr="00646EAA" w:rsidTr="00646EAA"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Прибыль (+), убыток (-) года, </w:t>
            </w:r>
            <w:proofErr w:type="spellStart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тыс</w:t>
            </w:r>
            <w:proofErr w:type="gramStart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.р</w:t>
            </w:r>
            <w:proofErr w:type="gramEnd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уб</w:t>
            </w:r>
            <w:proofErr w:type="spellEnd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397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497F3F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69288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497F3F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+174</w:t>
            </w:r>
          </w:p>
        </w:tc>
      </w:tr>
      <w:tr w:rsidR="00646EAA" w:rsidRPr="00646EAA" w:rsidTr="00646EAA"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Рентабельность </w:t>
            </w:r>
            <w:proofErr w:type="spellStart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произв</w:t>
            </w:r>
            <w:proofErr w:type="spellEnd"/>
            <w:proofErr w:type="gramStart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 .</w:t>
            </w:r>
            <w:proofErr w:type="gramEnd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продукц</w:t>
            </w:r>
            <w:r w:rsidR="00497F3F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ии</w:t>
            </w: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.   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0,5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497F3F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48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497F3F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+96</w:t>
            </w:r>
          </w:p>
        </w:tc>
      </w:tr>
    </w:tbl>
    <w:p w:rsidR="00646EAA" w:rsidRPr="00646EAA" w:rsidRDefault="00646EAA" w:rsidP="00646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646EAA" w:rsidRPr="00646EAA" w:rsidRDefault="00646EAA" w:rsidP="00646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Из таблицы № 1 видно, что в 201</w:t>
      </w:r>
      <w:r w:rsidR="00AE674F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3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 году общая выручка возросла  на </w:t>
      </w:r>
      <w:r w:rsidR="00AE674F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58363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тысяч</w:t>
      </w:r>
      <w:r w:rsidR="00AE674F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и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 рублей.</w:t>
      </w:r>
    </w:p>
    <w:p w:rsidR="00646EAA" w:rsidRPr="00646EAA" w:rsidRDefault="00646EAA" w:rsidP="00646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proofErr w:type="gram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Прочие  расходы увеличились на </w:t>
      </w:r>
      <w:r w:rsidR="00AE674F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33421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тыс. руб., за счет уплаты процентов за кредит 2</w:t>
      </w:r>
      <w:r w:rsidR="00AE674F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3874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тыс. рублей,   высока стоимость обедов и коммунальных услуг, в связи с тем, что хозяйство предоставляет льготу на оплату своим рабочим  питания и коммунальных услуг, разница в стоимости составила </w:t>
      </w:r>
      <w:r w:rsidR="00AE674F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605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тыс. рублей; дотация на питание 1</w:t>
      </w:r>
      <w:r w:rsidR="00AE674F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85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тыс. рублей;</w:t>
      </w:r>
      <w:proofErr w:type="gramEnd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 оплата на аренду леса </w:t>
      </w:r>
      <w:r w:rsidR="00AE674F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812 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тыс. рублей, услуги банка </w:t>
      </w:r>
      <w:r w:rsidR="00AE674F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777 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тыс. рублей, </w:t>
      </w:r>
      <w:r w:rsidR="00AE674F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реализация основных средств 6172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тыс. рублей.  Хозяйство в целом  сработало удовлетворительно. </w:t>
      </w:r>
    </w:p>
    <w:p w:rsidR="00646EAA" w:rsidRPr="00646EAA" w:rsidRDefault="00646EAA" w:rsidP="00646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646EAA" w:rsidRPr="00646EAA" w:rsidRDefault="00646EAA" w:rsidP="00646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В следующей таблице приводятся цифры по начисленным и выплаченным налогам и платежам во внебюджетные фонды.</w:t>
      </w: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646EAA" w:rsidRPr="00646EAA" w:rsidRDefault="00646EAA" w:rsidP="00646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Таблица № 2.</w:t>
      </w:r>
    </w:p>
    <w:p w:rsidR="00646EAA" w:rsidRPr="00646EAA" w:rsidRDefault="00646EAA" w:rsidP="00646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tbl>
      <w:tblPr>
        <w:tblW w:w="94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2784"/>
        <w:gridCol w:w="1566"/>
        <w:gridCol w:w="1125"/>
        <w:gridCol w:w="1423"/>
        <w:gridCol w:w="1125"/>
        <w:gridCol w:w="1412"/>
      </w:tblGrid>
      <w:tr w:rsidR="00646EAA" w:rsidRPr="00646EAA" w:rsidTr="00646EAA">
        <w:tc>
          <w:tcPr>
            <w:tcW w:w="2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Наименование фондов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Начислено </w:t>
            </w:r>
          </w:p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в2012 г.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proofErr w:type="spellStart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Уплаче</w:t>
            </w:r>
            <w:proofErr w:type="spellEnd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-</w:t>
            </w:r>
          </w:p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но в</w:t>
            </w:r>
          </w:p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2012 г.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Начислено</w:t>
            </w:r>
          </w:p>
          <w:p w:rsidR="00646EAA" w:rsidRPr="00646EAA" w:rsidRDefault="00646EAA" w:rsidP="00AE6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 в 201</w:t>
            </w:r>
            <w:r w:rsidR="00AE674F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3</w:t>
            </w: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 г.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proofErr w:type="spellStart"/>
            <w:proofErr w:type="gramStart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Уплаче</w:t>
            </w:r>
            <w:proofErr w:type="spellEnd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-но</w:t>
            </w:r>
            <w:proofErr w:type="gramEnd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 в</w:t>
            </w:r>
          </w:p>
          <w:p w:rsidR="00646EAA" w:rsidRPr="00646EAA" w:rsidRDefault="00646EAA" w:rsidP="00AE6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201</w:t>
            </w:r>
            <w:r w:rsidR="00AE674F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Остаток</w:t>
            </w:r>
          </w:p>
          <w:p w:rsidR="00646EAA" w:rsidRPr="00646EAA" w:rsidRDefault="00646EAA" w:rsidP="00AE6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 на 01.01.1</w:t>
            </w:r>
            <w:r w:rsidR="00AE674F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4</w:t>
            </w:r>
          </w:p>
        </w:tc>
      </w:tr>
      <w:tr w:rsidR="00646EAA" w:rsidRPr="00646EAA" w:rsidTr="00AE674F">
        <w:tc>
          <w:tcPr>
            <w:tcW w:w="2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Налоги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5300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5587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EAA" w:rsidRPr="00646EAA" w:rsidRDefault="00AE674F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5836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EAA" w:rsidRPr="00646EAA" w:rsidRDefault="00AE674F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4406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AE674F" w:rsidP="00AE6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1663</w:t>
            </w:r>
          </w:p>
        </w:tc>
      </w:tr>
      <w:tr w:rsidR="00646EAA" w:rsidRPr="00646EAA" w:rsidTr="00AE674F">
        <w:tc>
          <w:tcPr>
            <w:tcW w:w="2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Сборы во внебюджетные фонды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9122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9361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EAA" w:rsidRPr="00646EAA" w:rsidRDefault="00AE674F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11553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EAA" w:rsidRPr="00646EAA" w:rsidRDefault="00AE674F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11135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EAA" w:rsidRPr="00646EAA" w:rsidRDefault="00AE674F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594</w:t>
            </w:r>
          </w:p>
        </w:tc>
      </w:tr>
      <w:tr w:rsidR="00646EAA" w:rsidRPr="00646EAA" w:rsidTr="00646EAA">
        <w:tc>
          <w:tcPr>
            <w:tcW w:w="2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lastRenderedPageBreak/>
              <w:t>Реструктуризация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1062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AE674F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869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AE674F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-</w:t>
            </w:r>
          </w:p>
        </w:tc>
      </w:tr>
      <w:tr w:rsidR="00646EAA" w:rsidRPr="00646EAA" w:rsidTr="00646EAA">
        <w:tc>
          <w:tcPr>
            <w:tcW w:w="2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ИТОГО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14422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16010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AE674F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17389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9D0A7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16410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9D0A7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2257</w:t>
            </w:r>
          </w:p>
        </w:tc>
      </w:tr>
    </w:tbl>
    <w:p w:rsidR="00646EAA" w:rsidRPr="00646EAA" w:rsidRDefault="00646EAA" w:rsidP="00646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646EAA" w:rsidRPr="00646EAA" w:rsidRDefault="00646EAA" w:rsidP="00646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По данным показателям приведенным в таблице видно, что хозяйство  старается регулярно выплачивать текущую задолженность</w:t>
      </w:r>
      <w:proofErr w:type="gram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.</w:t>
      </w:r>
      <w:proofErr w:type="gramEnd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</w:t>
      </w:r>
      <w:proofErr w:type="gram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н</w:t>
      </w:r>
      <w:proofErr w:type="gramEnd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о слишком завышены налоги и платежи начисляемые на заработную плату.</w:t>
      </w: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646EAA" w:rsidRPr="00646EAA" w:rsidRDefault="00646EAA" w:rsidP="00646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Оценка ликвидности баланса показана в таблице № 3.</w:t>
      </w:r>
    </w:p>
    <w:p w:rsidR="00646EAA" w:rsidRPr="00646EAA" w:rsidRDefault="00646EAA" w:rsidP="00646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646EAA" w:rsidRPr="00646EAA" w:rsidRDefault="00646EAA" w:rsidP="00646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Таблица № 3.</w:t>
      </w: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tbl>
      <w:tblPr>
        <w:tblW w:w="94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668"/>
        <w:gridCol w:w="993"/>
        <w:gridCol w:w="1084"/>
        <w:gridCol w:w="1191"/>
        <w:gridCol w:w="985"/>
        <w:gridCol w:w="992"/>
        <w:gridCol w:w="1238"/>
        <w:gridCol w:w="1299"/>
      </w:tblGrid>
      <w:tr w:rsidR="00646EAA" w:rsidRPr="00646EAA" w:rsidTr="00646EAA"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Актив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На 01.01.12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На</w:t>
            </w:r>
          </w:p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01.01.</w:t>
            </w:r>
          </w:p>
          <w:p w:rsidR="00646EAA" w:rsidRPr="00646EAA" w:rsidRDefault="00646EAA" w:rsidP="00E54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</w:t>
            </w:r>
            <w:r w:rsidR="00E549AB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Пассив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На 01.011.2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На </w:t>
            </w:r>
          </w:p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01.01</w:t>
            </w:r>
          </w:p>
          <w:p w:rsidR="00646EAA" w:rsidRPr="00646EAA" w:rsidRDefault="00646EAA" w:rsidP="00E54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</w:t>
            </w:r>
            <w:r w:rsidR="00E549AB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Платеж</w:t>
            </w:r>
          </w:p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proofErr w:type="spellStart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ный</w:t>
            </w:r>
            <w:proofErr w:type="spellEnd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 излишек или недостаток на 01.01.</w:t>
            </w:r>
          </w:p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12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Платеж</w:t>
            </w:r>
          </w:p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proofErr w:type="spellStart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ный</w:t>
            </w:r>
            <w:proofErr w:type="spellEnd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 излишек или </w:t>
            </w:r>
            <w:proofErr w:type="spellStart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недоста</w:t>
            </w:r>
            <w:proofErr w:type="spellEnd"/>
          </w:p>
          <w:p w:rsidR="00646EAA" w:rsidRPr="00646EAA" w:rsidRDefault="00646EAA" w:rsidP="00E54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ток на 01.01.1</w:t>
            </w:r>
            <w:r w:rsidR="00E549AB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3</w:t>
            </w:r>
          </w:p>
        </w:tc>
      </w:tr>
      <w:tr w:rsidR="00646EAA" w:rsidRPr="00646EAA" w:rsidTr="00E549AB"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Наиболее ликвидные активы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94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E549AB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39051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Наиболее срочные </w:t>
            </w:r>
            <w:proofErr w:type="spellStart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обязат</w:t>
            </w:r>
            <w:proofErr w:type="spellEnd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17062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EAA" w:rsidRPr="00646EAA" w:rsidRDefault="00E549AB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48181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-16968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E54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-</w:t>
            </w:r>
            <w:r w:rsidR="00E549AB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9130</w:t>
            </w:r>
          </w:p>
        </w:tc>
      </w:tr>
      <w:tr w:rsidR="00646EAA" w:rsidRPr="00646EAA" w:rsidTr="00E549AB"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Быстрореализуемые активы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6449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E549AB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7853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Краткосрочные пассивы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62471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EAA" w:rsidRPr="00646EAA" w:rsidRDefault="00E549AB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71724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-56022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E54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-</w:t>
            </w:r>
            <w:r w:rsidR="00E549AB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63871</w:t>
            </w:r>
          </w:p>
        </w:tc>
      </w:tr>
      <w:tr w:rsidR="00646EAA" w:rsidRPr="00646EAA" w:rsidTr="00E549AB"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Медленно реализуемые активы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87307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E549AB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95635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Долгосрочные пассивы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134007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EAA" w:rsidRPr="00646EAA" w:rsidRDefault="00E549AB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122144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-46700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E54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-</w:t>
            </w:r>
            <w:r w:rsidR="00E549AB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26509</w:t>
            </w:r>
          </w:p>
        </w:tc>
      </w:tr>
      <w:tr w:rsidR="00646EAA" w:rsidRPr="00646EAA" w:rsidTr="00E549AB"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Трудно реализуемые активы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226958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EAA" w:rsidRPr="00646EAA" w:rsidRDefault="00E549AB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272619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Постоянные пассивы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106871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EAA" w:rsidRPr="00646EAA" w:rsidRDefault="00E549AB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104403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+120087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E54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+</w:t>
            </w:r>
            <w:r w:rsidR="00E549AB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168216</w:t>
            </w:r>
          </w:p>
        </w:tc>
      </w:tr>
      <w:tr w:rsidR="00646EAA" w:rsidRPr="00646EAA" w:rsidTr="00646EAA"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Прибыль</w:t>
            </w:r>
          </w:p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Убыток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397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EAA" w:rsidRPr="00646EAA" w:rsidRDefault="00E549AB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68706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</w:p>
        </w:tc>
      </w:tr>
      <w:tr w:rsidR="00646EAA" w:rsidRPr="00646EAA" w:rsidTr="00E549AB"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Баланс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320808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EAA" w:rsidRPr="00646EAA" w:rsidRDefault="00E549AB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415158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Баланс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320808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EAA" w:rsidRPr="00646EAA" w:rsidRDefault="00E549AB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415158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+397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E549AB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+68706</w:t>
            </w:r>
          </w:p>
        </w:tc>
      </w:tr>
    </w:tbl>
    <w:p w:rsidR="00646EAA" w:rsidRPr="00646EAA" w:rsidRDefault="00646EAA" w:rsidP="00646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646EAA" w:rsidRPr="00646EAA" w:rsidRDefault="00646EAA" w:rsidP="00646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Исходя из таблицы № 3, можно сказать, что ликвидность баланса удовлетворительная. </w:t>
      </w: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Социальные показатели </w:t>
      </w:r>
      <w:proofErr w:type="spell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Племзавода</w:t>
      </w:r>
      <w:proofErr w:type="spellEnd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отражены в таблице № 4.</w:t>
      </w:r>
    </w:p>
    <w:p w:rsidR="00646EAA" w:rsidRPr="00646EAA" w:rsidRDefault="00646EAA" w:rsidP="00646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402"/>
        <w:gridCol w:w="1560"/>
        <w:gridCol w:w="1417"/>
        <w:gridCol w:w="1468"/>
      </w:tblGrid>
      <w:tr w:rsidR="00646EAA" w:rsidRPr="00646EAA" w:rsidTr="00646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№</w:t>
            </w:r>
          </w:p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proofErr w:type="gramStart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п</w:t>
            </w:r>
            <w:proofErr w:type="gramEnd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Показатель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За 2012 </w:t>
            </w:r>
          </w:p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A" w:rsidRPr="00646EAA" w:rsidRDefault="00646EAA" w:rsidP="00E54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За отчетный год 201</w:t>
            </w:r>
            <w:r w:rsidR="00E549AB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Изменения</w:t>
            </w:r>
          </w:p>
        </w:tc>
      </w:tr>
      <w:tr w:rsidR="00646EAA" w:rsidRPr="00646EAA" w:rsidTr="00646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Среднесписочная численность работников</w:t>
            </w:r>
            <w:proofErr w:type="gramStart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.</w:t>
            </w:r>
            <w:proofErr w:type="gramEnd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 </w:t>
            </w:r>
            <w:proofErr w:type="gramStart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ч</w:t>
            </w:r>
            <w:proofErr w:type="gramEnd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еловек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A" w:rsidRPr="00646EAA" w:rsidRDefault="00646EAA" w:rsidP="00E54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</w:t>
            </w:r>
            <w:r w:rsidR="00E549AB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53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A" w:rsidRPr="00646EAA" w:rsidRDefault="00646EAA" w:rsidP="00E54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-</w:t>
            </w:r>
            <w:r w:rsidR="00E549AB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16</w:t>
            </w:r>
          </w:p>
        </w:tc>
      </w:tr>
      <w:tr w:rsidR="00646EAA" w:rsidRPr="00646EAA" w:rsidTr="00646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Затраты на оплату труда рублей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35457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A" w:rsidRPr="00646EAA" w:rsidRDefault="00646EAA" w:rsidP="00E54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3</w:t>
            </w:r>
            <w:r w:rsidR="00E549AB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5581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A" w:rsidRPr="00646EAA" w:rsidRDefault="00E549AB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+124</w:t>
            </w:r>
          </w:p>
        </w:tc>
      </w:tr>
    </w:tbl>
    <w:p w:rsidR="00646EAA" w:rsidRPr="00646EAA" w:rsidRDefault="00646EAA" w:rsidP="00646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646EAA" w:rsidRPr="00646EAA" w:rsidRDefault="00646EAA" w:rsidP="00646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Сведения о собственном капитале общества.</w:t>
      </w:r>
    </w:p>
    <w:p w:rsidR="00646EAA" w:rsidRPr="00646EAA" w:rsidRDefault="00646EAA" w:rsidP="00646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402"/>
        <w:gridCol w:w="1560"/>
        <w:gridCol w:w="1417"/>
        <w:gridCol w:w="1468"/>
      </w:tblGrid>
      <w:tr w:rsidR="00646EAA" w:rsidRPr="00646EAA" w:rsidTr="00646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lastRenderedPageBreak/>
              <w:t>№</w:t>
            </w:r>
          </w:p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proofErr w:type="gramStart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п</w:t>
            </w:r>
            <w:proofErr w:type="gramEnd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Показатели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На 31.12.2012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A" w:rsidRPr="00646EAA" w:rsidRDefault="00646EAA" w:rsidP="00E54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На 31.12.201</w:t>
            </w:r>
            <w:r w:rsidR="00E549AB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Изменения</w:t>
            </w:r>
          </w:p>
        </w:tc>
      </w:tr>
      <w:tr w:rsidR="00646EAA" w:rsidRPr="00646EAA" w:rsidTr="00646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Сумма чистых активов рублей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A" w:rsidRPr="00646EAA" w:rsidRDefault="00E549AB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107317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A" w:rsidRPr="00646EAA" w:rsidRDefault="00646EAA" w:rsidP="00E54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</w:t>
            </w:r>
            <w:r w:rsidR="00E549AB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73109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A" w:rsidRPr="00646EAA" w:rsidRDefault="00E549AB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+65792</w:t>
            </w:r>
          </w:p>
        </w:tc>
      </w:tr>
      <w:tr w:rsidR="00646EAA" w:rsidRPr="00646EAA" w:rsidTr="00646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Уставный капитал, рублей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68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-</w:t>
            </w:r>
          </w:p>
        </w:tc>
      </w:tr>
    </w:tbl>
    <w:p w:rsidR="00646EAA" w:rsidRPr="00646EAA" w:rsidRDefault="00646EAA" w:rsidP="00646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646EAA" w:rsidRPr="00646EAA" w:rsidRDefault="00646EAA" w:rsidP="00646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646EAA" w:rsidRPr="00646EAA" w:rsidRDefault="00646EAA" w:rsidP="00646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Финансовая устойчивость хозяйства характеризуется показателями  таблицы № 6.</w:t>
      </w:r>
    </w:p>
    <w:p w:rsidR="00646EAA" w:rsidRPr="00646EAA" w:rsidRDefault="00646EAA" w:rsidP="00646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646EAA" w:rsidRPr="00646EAA" w:rsidRDefault="00646EAA" w:rsidP="00646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646EAA" w:rsidRPr="00646EAA" w:rsidRDefault="00646EAA" w:rsidP="00646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Таблица № 6.</w:t>
      </w:r>
    </w:p>
    <w:p w:rsidR="00646EAA" w:rsidRPr="00646EAA" w:rsidRDefault="00646EAA" w:rsidP="00646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674"/>
        <w:gridCol w:w="2977"/>
        <w:gridCol w:w="1559"/>
        <w:gridCol w:w="1701"/>
        <w:gridCol w:w="1560"/>
      </w:tblGrid>
      <w:tr w:rsidR="00646EAA" w:rsidRPr="00646EAA" w:rsidTr="00646EAA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№</w:t>
            </w:r>
          </w:p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proofErr w:type="gramStart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п</w:t>
            </w:r>
            <w:proofErr w:type="gramEnd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/п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Показатель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Состояние </w:t>
            </w:r>
            <w:proofErr w:type="gramStart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на</w:t>
            </w:r>
            <w:proofErr w:type="gramEnd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 </w:t>
            </w:r>
          </w:p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01.01.12 г.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E54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Состояние на 01.01.201</w:t>
            </w:r>
            <w:r w:rsidR="00E549AB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3</w:t>
            </w: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г.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Изменения за период</w:t>
            </w:r>
          </w:p>
        </w:tc>
      </w:tr>
      <w:tr w:rsidR="00646EAA" w:rsidRPr="00646EAA" w:rsidTr="00B56D98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Капитал и резервы раз.3 пассива ф.1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107268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EAA" w:rsidRPr="00646EAA" w:rsidRDefault="00B56D98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173109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B56D98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+65841</w:t>
            </w:r>
          </w:p>
        </w:tc>
      </w:tr>
      <w:tr w:rsidR="00646EAA" w:rsidRPr="00646EAA" w:rsidTr="00B56D98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Основные средства и вложения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226958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EAA" w:rsidRPr="00646EAA" w:rsidRDefault="00B56D98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272619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B56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+</w:t>
            </w:r>
            <w:r w:rsidR="00B56D98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45661</w:t>
            </w:r>
          </w:p>
        </w:tc>
      </w:tr>
      <w:tr w:rsidR="00646EAA" w:rsidRPr="00646EAA" w:rsidTr="00B56D98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Наличие собственных оборотных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93850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EAA" w:rsidRPr="00646EAA" w:rsidRDefault="00B56D98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142539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B56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+</w:t>
            </w:r>
            <w:r w:rsidR="00B56D98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48689</w:t>
            </w:r>
          </w:p>
        </w:tc>
      </w:tr>
      <w:tr w:rsidR="00646EAA" w:rsidRPr="00646EAA" w:rsidTr="00B56D98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Долгосрочные кредиты и заемные средства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134007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EAA" w:rsidRPr="00646EAA" w:rsidRDefault="00B56D98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122144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B56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-</w:t>
            </w:r>
            <w:r w:rsidR="00B56D98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11863</w:t>
            </w:r>
          </w:p>
        </w:tc>
      </w:tr>
      <w:tr w:rsidR="00646EAA" w:rsidRPr="00646EAA" w:rsidTr="00B56D98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Наличие собственных и долгосрочных заемных источников формирования запасов и затрат (3+4)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227857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EAA" w:rsidRPr="00646EAA" w:rsidRDefault="00B56D98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264683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B56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+</w:t>
            </w:r>
            <w:r w:rsidR="00B56D98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36826</w:t>
            </w:r>
          </w:p>
        </w:tc>
      </w:tr>
      <w:tr w:rsidR="00646EAA" w:rsidRPr="00646EAA" w:rsidTr="00B56D98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Краткосрочные кредиты и заемные средства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62471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EAA" w:rsidRPr="00646EAA" w:rsidRDefault="00B56D98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71724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B56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+</w:t>
            </w:r>
            <w:r w:rsidR="00B56D98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9253</w:t>
            </w:r>
          </w:p>
        </w:tc>
      </w:tr>
      <w:tr w:rsidR="00646EAA" w:rsidRPr="00646EAA" w:rsidTr="00B56D98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Общая величина источников формирования запасов и затрат (5+6)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290328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EAA" w:rsidRPr="00646EAA" w:rsidRDefault="00B56D98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336407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B56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+</w:t>
            </w:r>
            <w:r w:rsidR="00B56D98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46079</w:t>
            </w:r>
          </w:p>
        </w:tc>
      </w:tr>
      <w:tr w:rsidR="00646EAA" w:rsidRPr="00646EAA" w:rsidTr="00B56D98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Общая величина запасов и затрат ф</w:t>
            </w:r>
            <w:proofErr w:type="gramStart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</w:t>
            </w:r>
            <w:proofErr w:type="gramEnd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. 210+220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87307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EAA" w:rsidRPr="00646EAA" w:rsidRDefault="00B56D98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95638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B56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+</w:t>
            </w:r>
            <w:r w:rsidR="00B56D98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8328</w:t>
            </w:r>
          </w:p>
        </w:tc>
      </w:tr>
      <w:tr w:rsidR="00646EAA" w:rsidRPr="00646EAA" w:rsidTr="00646EAA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9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Коэффициент </w:t>
            </w:r>
            <w:proofErr w:type="gramStart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текущей</w:t>
            </w:r>
            <w:proofErr w:type="gramEnd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ликвидност</w:t>
            </w:r>
            <w:proofErr w:type="spellEnd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.</w:t>
            </w:r>
          </w:p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ф</w:t>
            </w:r>
            <w:proofErr w:type="gramStart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</w:t>
            </w:r>
            <w:proofErr w:type="gramEnd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.1200/1500-1530-1540-1550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0</w:t>
            </w:r>
          </w:p>
        </w:tc>
      </w:tr>
      <w:tr w:rsidR="00646EAA" w:rsidRPr="00646EAA" w:rsidTr="00646EAA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Излишек</w:t>
            </w:r>
            <w:proofErr w:type="gramStart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 (+) </w:t>
            </w:r>
            <w:proofErr w:type="gramEnd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или недостаток (-) собственных  оборотных средств (стр.3-стр.8)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+6543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B56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+</w:t>
            </w:r>
            <w:r w:rsidR="00B56D98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46904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B56D98" w:rsidP="00B56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+</w:t>
            </w:r>
            <w:r w:rsidR="00646EAA"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361</w:t>
            </w:r>
          </w:p>
        </w:tc>
      </w:tr>
      <w:tr w:rsidR="00646EAA" w:rsidRPr="00646EAA" w:rsidTr="00646EAA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Излишек</w:t>
            </w:r>
            <w:proofErr w:type="gramStart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 (+) </w:t>
            </w:r>
            <w:proofErr w:type="gramEnd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или недостаток (-) собственных и долгосрочных заемных источников формирования запасов и </w:t>
            </w: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lastRenderedPageBreak/>
              <w:t>затрат (стр.5-стр.8)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lastRenderedPageBreak/>
              <w:t>+140550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B56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+1</w:t>
            </w:r>
            <w:r w:rsidR="00B56D98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69048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B56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+2</w:t>
            </w:r>
            <w:r w:rsidR="00B56D98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8498</w:t>
            </w:r>
          </w:p>
        </w:tc>
      </w:tr>
      <w:tr w:rsidR="00646EAA" w:rsidRPr="00646EAA" w:rsidTr="00646EAA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Излишек</w:t>
            </w:r>
            <w:proofErr w:type="gramStart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 (+) </w:t>
            </w:r>
            <w:proofErr w:type="gramEnd"/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или недостаток (-) общей величины основных источников формирования запасов и затрат (стр.7-стр.8)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+203021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B56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+2</w:t>
            </w:r>
            <w:r w:rsidR="00B56D98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40772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B56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+</w:t>
            </w:r>
            <w:r w:rsidR="00B56D98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37751</w:t>
            </w:r>
          </w:p>
        </w:tc>
      </w:tr>
      <w:tr w:rsidR="00646EAA" w:rsidRPr="00646EAA" w:rsidTr="00646EAA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Трехкомпонентный показатель типа финансовой ситуации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(1</w:t>
            </w:r>
            <w:r w:rsidR="00B56D98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</w:t>
            </w: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(1</w:t>
            </w:r>
            <w:r w:rsidR="00B56D98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</w:t>
            </w: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6EAA" w:rsidRPr="00646EAA" w:rsidRDefault="00646EAA" w:rsidP="0064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(1</w:t>
            </w:r>
            <w:r w:rsidR="00B56D98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</w:t>
            </w:r>
            <w:r w:rsidRPr="00646EAA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1)</w:t>
            </w:r>
          </w:p>
        </w:tc>
      </w:tr>
    </w:tbl>
    <w:p w:rsidR="00646EAA" w:rsidRPr="00646EAA" w:rsidRDefault="00646EAA" w:rsidP="00646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646EAA" w:rsidRPr="00646EAA" w:rsidRDefault="00646EAA" w:rsidP="00646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По данным показателям видно, что в хозяйстве в 201</w:t>
      </w:r>
      <w:r w:rsidR="00B56D98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3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году  </w:t>
      </w:r>
      <w:r w:rsidR="00602E10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хорошая 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устойчивость финансового состояния. </w:t>
      </w:r>
      <w:r w:rsidR="00602E10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Но н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еобходимо поработать по снижению объема заемных средств</w:t>
      </w:r>
    </w:p>
    <w:p w:rsidR="00646EAA" w:rsidRPr="00646EAA" w:rsidRDefault="00646EAA" w:rsidP="00646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Оборотные активы занимают </w:t>
      </w:r>
      <w:r w:rsidR="00602E10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34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% во всем имуществе, что </w:t>
      </w:r>
      <w:r w:rsidR="00602E10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ниже установленной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нормы. Считаю, чтобы добиться нормализации величины  и состава основных средств по отношению к потребности производственной программы, выпуска товарной продукции нужна нормализация потребности в оборотных средствах путем адаптации объема и структуры производства и платежеспособный спрос на продукцию. А так же по возможности нужно ускорить оборачиваемость оборотных средств и сократить затраты на производство. Чтобы сократить затраты на производство нужно в растениеводстве:</w:t>
      </w: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- закупать по возможности элитные семена, вносить на поля органические удобрения, что у нас последнее время почти не производится из-за нехватки техники. В животноводстве   нужно уделить конкретное внимание на скармливание кормов, мы исходим из того, что есть, но у нас </w:t>
      </w:r>
      <w:proofErr w:type="gram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корма</w:t>
      </w:r>
      <w:proofErr w:type="gramEnd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не сбалансированные и поэтому происходит плохая усвояемость корма и большие отходы. Нужно работать над балансировкой кормов. Чтобы получать </w:t>
      </w:r>
      <w:proofErr w:type="gram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побольше</w:t>
      </w:r>
      <w:proofErr w:type="gramEnd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надой молока  нужно зоотехникам поработать над уменьшением сервисного периода коров.</w:t>
      </w: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ab/>
      </w:r>
      <w:proofErr w:type="gram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Нужно больше уделять внимания дебиторской задолженности по ее истребованию, а так же при заключении договоров нужно обязательно смотреть баланс предприятия, чтобы заключать договора с платежеспособными предприятиями и оговаривать цену реализации, а по сдаче на мясокомбинаты и </w:t>
      </w:r>
      <w:proofErr w:type="spell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молзаводы</w:t>
      </w:r>
      <w:proofErr w:type="spellEnd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следить и регулярно заключать дополнительные соглашения по цене, так как в настоящее время высокая инфляция. </w:t>
      </w:r>
      <w:proofErr w:type="gramEnd"/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Генеральный директор </w:t>
      </w: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ОАО «</w:t>
      </w:r>
      <w:proofErr w:type="spell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Племзавод</w:t>
      </w:r>
      <w:proofErr w:type="spellEnd"/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имени В.Н. Цветкова»                                           В.С. </w:t>
      </w:r>
      <w:proofErr w:type="spell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Сенцов</w:t>
      </w:r>
      <w:proofErr w:type="spellEnd"/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Главный бухгалтер                                               В.В. </w:t>
      </w:r>
      <w:proofErr w:type="spellStart"/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Дадыко</w:t>
      </w:r>
      <w:proofErr w:type="spellEnd"/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bookmarkStart w:id="0" w:name="_GoBack"/>
      <w:bookmarkEnd w:id="0"/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2</w:t>
      </w:r>
      <w:r w:rsidR="003C4A2F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5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.01.201</w:t>
      </w:r>
      <w:r w:rsidR="00602E10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4</w:t>
      </w:r>
      <w:r w:rsidRPr="00646EAA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года.</w:t>
      </w: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646EAA" w:rsidRPr="00646EAA" w:rsidRDefault="00646EAA" w:rsidP="00646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D4617F" w:rsidRDefault="00D4617F"/>
    <w:sectPr w:rsidR="00D46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06163"/>
    <w:multiLevelType w:val="singleLevel"/>
    <w:tmpl w:val="8C7AA28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">
    <w:nsid w:val="61A713E1"/>
    <w:multiLevelType w:val="hybridMultilevel"/>
    <w:tmpl w:val="E6EA5E1A"/>
    <w:lvl w:ilvl="0" w:tplc="B5B46062">
      <w:start w:val="1"/>
      <w:numFmt w:val="decimal"/>
      <w:lvlText w:val="%1)"/>
      <w:lvlJc w:val="left"/>
      <w:pPr>
        <w:tabs>
          <w:tab w:val="num" w:pos="2295"/>
        </w:tabs>
        <w:ind w:left="2295" w:hanging="85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EAA"/>
    <w:rsid w:val="003C4A2F"/>
    <w:rsid w:val="00497F3F"/>
    <w:rsid w:val="005657F7"/>
    <w:rsid w:val="00602E10"/>
    <w:rsid w:val="00646EAA"/>
    <w:rsid w:val="00704CD0"/>
    <w:rsid w:val="009D0A7A"/>
    <w:rsid w:val="00AE674F"/>
    <w:rsid w:val="00B31935"/>
    <w:rsid w:val="00B56D98"/>
    <w:rsid w:val="00B57357"/>
    <w:rsid w:val="00D4617F"/>
    <w:rsid w:val="00D908B4"/>
    <w:rsid w:val="00E54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5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11</Pages>
  <Words>3793</Words>
  <Characters>21626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2014-01-27T10:39:00Z</dcterms:created>
  <dcterms:modified xsi:type="dcterms:W3CDTF">2014-02-13T08:52:00Z</dcterms:modified>
</cp:coreProperties>
</file>