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B06EE5"/>
    <w:p w:rsidR="00624268" w:rsidRDefault="00624268"/>
    <w:p w:rsidR="00624268" w:rsidRPr="00DC4022" w:rsidRDefault="00624268" w:rsidP="00624268">
      <w:pPr>
        <w:jc w:val="center"/>
        <w:outlineLvl w:val="0"/>
        <w:rPr>
          <w:bCs/>
        </w:rPr>
      </w:pPr>
      <w:r w:rsidRPr="00DC4022">
        <w:rPr>
          <w:bCs/>
        </w:rPr>
        <w:t>Сообщение</w:t>
      </w:r>
    </w:p>
    <w:p w:rsidR="00624268" w:rsidRPr="00DC4022" w:rsidRDefault="00624268" w:rsidP="00624268">
      <w:pPr>
        <w:jc w:val="center"/>
        <w:outlineLvl w:val="0"/>
        <w:rPr>
          <w:bCs/>
        </w:rPr>
      </w:pPr>
      <w:r w:rsidRPr="00DC4022">
        <w:rPr>
          <w:bCs/>
        </w:rPr>
        <w:t>о проведении общего собрания а</w:t>
      </w:r>
      <w:r>
        <w:rPr>
          <w:bCs/>
        </w:rPr>
        <w:t>кционеров акционерного общества</w:t>
      </w:r>
    </w:p>
    <w:p w:rsidR="00624268" w:rsidRDefault="00624268" w:rsidP="00624268">
      <w:pPr>
        <w:ind w:firstLine="709"/>
        <w:jc w:val="both"/>
        <w:rPr>
          <w:sz w:val="18"/>
          <w:szCs w:val="18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1"/>
        <w:gridCol w:w="5307"/>
      </w:tblGrid>
      <w:tr w:rsidR="00624268" w:rsidRPr="00A7122C" w:rsidTr="00ED1800">
        <w:tc>
          <w:tcPr>
            <w:tcW w:w="10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A7122C" w:rsidRDefault="00624268" w:rsidP="00ED180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7122C">
              <w:rPr>
                <w:sz w:val="22"/>
                <w:szCs w:val="22"/>
              </w:rPr>
              <w:t>1. Общие сведения</w:t>
            </w:r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1.1. Полное фирменное наименование акционерного общества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</w:pPr>
            <w:r w:rsidRPr="00624268">
              <w:rPr>
                <w:bCs/>
                <w:color w:val="000000"/>
              </w:rPr>
              <w:t>Открытое акционерное общество «</w:t>
            </w:r>
            <w:proofErr w:type="spellStart"/>
            <w:r w:rsidRPr="00624268">
              <w:rPr>
                <w:bCs/>
                <w:color w:val="000000"/>
              </w:rPr>
              <w:t>Племзавод</w:t>
            </w:r>
            <w:proofErr w:type="spellEnd"/>
            <w:r w:rsidRPr="00624268">
              <w:rPr>
                <w:bCs/>
                <w:color w:val="000000"/>
              </w:rPr>
              <w:t xml:space="preserve"> им. </w:t>
            </w:r>
            <w:proofErr w:type="spellStart"/>
            <w:r w:rsidRPr="00624268">
              <w:rPr>
                <w:bCs/>
                <w:color w:val="000000"/>
              </w:rPr>
              <w:t>В.Н.Цветкова</w:t>
            </w:r>
            <w:proofErr w:type="spellEnd"/>
            <w:r w:rsidRPr="00624268">
              <w:rPr>
                <w:bCs/>
                <w:color w:val="000000"/>
              </w:rPr>
              <w:t>»</w:t>
            </w:r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1.2. Сокращенное фирменное наименование акционерного общества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68">
              <w:rPr>
                <w:bCs/>
              </w:rPr>
              <w:t xml:space="preserve">ОАО </w:t>
            </w:r>
            <w:r w:rsidRPr="00624268">
              <w:rPr>
                <w:bCs/>
                <w:color w:val="000000"/>
              </w:rPr>
              <w:t>«</w:t>
            </w:r>
            <w:proofErr w:type="spellStart"/>
            <w:r w:rsidRPr="00624268">
              <w:rPr>
                <w:bCs/>
                <w:color w:val="000000"/>
              </w:rPr>
              <w:t>Племзавод</w:t>
            </w:r>
            <w:proofErr w:type="spellEnd"/>
            <w:r w:rsidRPr="00624268">
              <w:rPr>
                <w:bCs/>
                <w:color w:val="000000"/>
              </w:rPr>
              <w:t xml:space="preserve"> им. </w:t>
            </w:r>
            <w:proofErr w:type="spellStart"/>
            <w:r w:rsidRPr="00624268">
              <w:rPr>
                <w:bCs/>
                <w:color w:val="000000"/>
              </w:rPr>
              <w:t>В.Н.Цветкова</w:t>
            </w:r>
            <w:proofErr w:type="spellEnd"/>
            <w:r w:rsidRPr="00624268">
              <w:rPr>
                <w:bCs/>
                <w:color w:val="000000"/>
              </w:rPr>
              <w:t>»</w:t>
            </w:r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1.3. Место нахождения акционерного общества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68">
              <w:rPr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624268">
              <w:rPr>
                <w:bCs/>
                <w:sz w:val="22"/>
                <w:szCs w:val="22"/>
              </w:rPr>
              <w:t>Малоярославецкий</w:t>
            </w:r>
            <w:proofErr w:type="spellEnd"/>
            <w:r w:rsidRPr="00624268">
              <w:rPr>
                <w:bCs/>
                <w:sz w:val="22"/>
                <w:szCs w:val="22"/>
              </w:rPr>
              <w:t xml:space="preserve"> район, </w:t>
            </w:r>
            <w:proofErr w:type="spellStart"/>
            <w:r w:rsidRPr="00624268">
              <w:rPr>
                <w:bCs/>
                <w:sz w:val="22"/>
                <w:szCs w:val="22"/>
              </w:rPr>
              <w:t>с</w:t>
            </w:r>
            <w:proofErr w:type="gramStart"/>
            <w:r w:rsidRPr="00624268">
              <w:rPr>
                <w:bCs/>
                <w:sz w:val="22"/>
                <w:szCs w:val="22"/>
              </w:rPr>
              <w:t>.К</w:t>
            </w:r>
            <w:proofErr w:type="gramEnd"/>
            <w:r w:rsidRPr="00624268">
              <w:rPr>
                <w:bCs/>
                <w:sz w:val="22"/>
                <w:szCs w:val="22"/>
              </w:rPr>
              <w:t>удиново</w:t>
            </w:r>
            <w:proofErr w:type="spellEnd"/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1.4. ИНН акционерного общества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68">
              <w:rPr>
                <w:bCs/>
                <w:sz w:val="22"/>
                <w:szCs w:val="22"/>
              </w:rPr>
              <w:t>1024000691890</w:t>
            </w:r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1.5. ОГРН акционерного общества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68">
              <w:rPr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1.6. Уникальный код эмитента, присвоенный регистрирующим органом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24268">
              <w:rPr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624268" w:rsidRPr="00BE5036" w:rsidTr="00ED1800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pStyle w:val="prilozhenie"/>
              <w:ind w:firstLine="0"/>
            </w:pPr>
            <w:r w:rsidRPr="00BE5036">
              <w:t>1.7. Адрес страницы в сети Интернет, используемой акционерным обществом для раскрытия информации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24268">
              <w:rPr>
                <w:bCs/>
                <w:color w:val="000000"/>
                <w:sz w:val="22"/>
                <w:szCs w:val="22"/>
              </w:rPr>
              <w:t>http://www.e-disclosure.ru/portal/company.aspx?id=4366</w:t>
            </w:r>
          </w:p>
        </w:tc>
      </w:tr>
    </w:tbl>
    <w:p w:rsidR="00624268" w:rsidRPr="00A7122C" w:rsidRDefault="00624268" w:rsidP="00624268">
      <w:pPr>
        <w:pStyle w:val="prilozhenie"/>
        <w:rPr>
          <w:sz w:val="22"/>
          <w:szCs w:val="22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28"/>
      </w:tblGrid>
      <w:tr w:rsidR="00624268" w:rsidRPr="00A7122C" w:rsidTr="00ED1800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A7122C" w:rsidRDefault="00624268" w:rsidP="00ED180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7122C">
              <w:rPr>
                <w:sz w:val="22"/>
                <w:szCs w:val="22"/>
              </w:rPr>
              <w:t>2. Содержание сообщения</w:t>
            </w:r>
          </w:p>
        </w:tc>
      </w:tr>
      <w:tr w:rsidR="00624268" w:rsidRPr="00295B8D" w:rsidTr="00ED1800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2.1. Ф</w:t>
            </w:r>
            <w:r w:rsidRPr="00624268">
              <w:rPr>
                <w:color w:val="000000"/>
                <w:shd w:val="clear" w:color="auto" w:fill="FFFFFF"/>
              </w:rPr>
              <w:t>орма проведения общего собрания акционеров (собрание (совместное присутствие) или заочное голосование)</w:t>
            </w:r>
            <w:r>
              <w:rPr>
                <w:color w:val="000000"/>
                <w:shd w:val="clear" w:color="auto" w:fill="FFFFFF"/>
              </w:rPr>
              <w:t>:</w:t>
            </w:r>
            <w:r w:rsidRPr="00DC4022">
              <w:t xml:space="preserve"> </w:t>
            </w:r>
            <w:r w:rsidRPr="00DC4022">
              <w:t>собрание (совместное присутствие).</w:t>
            </w:r>
          </w:p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rPr>
                <w:color w:val="000000"/>
                <w:shd w:val="clear" w:color="auto" w:fill="FFFFFF"/>
              </w:rPr>
              <w:t xml:space="preserve">2.2. </w:t>
            </w:r>
            <w:proofErr w:type="gramStart"/>
            <w:r>
              <w:rPr>
                <w:color w:val="000000"/>
                <w:shd w:val="clear" w:color="auto" w:fill="FFFFFF"/>
              </w:rPr>
              <w:t>Д</w:t>
            </w:r>
            <w:r w:rsidRPr="00624268">
              <w:rPr>
                <w:color w:val="000000"/>
                <w:shd w:val="clear" w:color="auto" w:fill="FFFFFF"/>
              </w:rPr>
              <w:t>ата, место, время проведения общего собрания акционеров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624268">
              <w:rPr>
                <w:color w:val="000000"/>
                <w:shd w:val="clear" w:color="auto" w:fill="FFFFFF"/>
              </w:rPr>
              <w:t>почтовый адрес, по которому могут, а в случаях, предусмотренных Федеральным законом "Об акционерных обществах", должны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624268">
              <w:rPr>
                <w:color w:val="000000"/>
                <w:shd w:val="clear" w:color="auto" w:fill="FFFFFF"/>
              </w:rPr>
              <w:t>направляться заполненные бюллетени для голосования;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624268">
              <w:rPr>
                <w:color w:val="000000"/>
                <w:shd w:val="clear" w:color="auto" w:fill="FFFFFF"/>
              </w:rPr>
              <w:t>время начала регистрации лиц, принимающих участие в общем собрании акционеров (в случае проведения общего собрания акционеров в форме собрания (совместного присутствия)</w:t>
            </w:r>
            <w:r w:rsidRPr="00624268">
              <w:rPr>
                <w:color w:val="000000"/>
                <w:shd w:val="clear" w:color="auto" w:fill="FFFFFF"/>
              </w:rPr>
              <w:t>:</w:t>
            </w:r>
            <w:r w:rsidRPr="00624268">
              <w:t xml:space="preserve"> </w:t>
            </w:r>
            <w:proofErr w:type="gramEnd"/>
          </w:p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</w:pPr>
            <w:r w:rsidRPr="00624268">
              <w:t xml:space="preserve">дата проведения Общего собрания –  16 июня 2015 года, место проведения Общего собрания – Калужская область, </w:t>
            </w:r>
            <w:proofErr w:type="spellStart"/>
            <w:r w:rsidRPr="00624268">
              <w:t>Малоярославецкий</w:t>
            </w:r>
            <w:proofErr w:type="spellEnd"/>
            <w:r w:rsidRPr="00624268">
              <w:t xml:space="preserve"> район, с. </w:t>
            </w:r>
            <w:proofErr w:type="spellStart"/>
            <w:r w:rsidRPr="00624268">
              <w:t>Кудиново</w:t>
            </w:r>
            <w:proofErr w:type="spellEnd"/>
            <w:r w:rsidRPr="00624268">
              <w:t>, здание администрации 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</w:t>
            </w:r>
            <w:r w:rsidRPr="00624268">
              <w:t>им. В.Н. Цветкова», актовый зал</w:t>
            </w:r>
            <w:r w:rsidRPr="00624268">
              <w:t>, время начала Общего собрания  - 1</w:t>
            </w:r>
            <w:r w:rsidRPr="00624268">
              <w:t>2</w:t>
            </w:r>
            <w:r w:rsidRPr="00624268">
              <w:t xml:space="preserve"> часов 00 минут</w:t>
            </w:r>
            <w:r>
              <w:t xml:space="preserve">, время начала регистрации – 11 часов 00 минут, почтовый адрес - </w:t>
            </w:r>
            <w:r w:rsidRPr="00624268">
              <w:rPr>
                <w:bCs/>
              </w:rPr>
              <w:t xml:space="preserve">РФ, Калужская область, </w:t>
            </w:r>
            <w:proofErr w:type="spellStart"/>
            <w:r w:rsidRPr="00624268">
              <w:rPr>
                <w:bCs/>
              </w:rPr>
              <w:t>Малоярославецкий</w:t>
            </w:r>
            <w:proofErr w:type="spellEnd"/>
            <w:r w:rsidRPr="00624268">
              <w:rPr>
                <w:bCs/>
              </w:rPr>
              <w:t xml:space="preserve"> район, </w:t>
            </w:r>
            <w:proofErr w:type="spellStart"/>
            <w:r w:rsidRPr="00624268">
              <w:rPr>
                <w:bCs/>
              </w:rPr>
              <w:t>с</w:t>
            </w:r>
            <w:proofErr w:type="gramStart"/>
            <w:r w:rsidRPr="00624268">
              <w:rPr>
                <w:bCs/>
              </w:rPr>
              <w:t>.К</w:t>
            </w:r>
            <w:proofErr w:type="gramEnd"/>
            <w:r w:rsidRPr="00624268">
              <w:rPr>
                <w:bCs/>
              </w:rPr>
              <w:t>удиново</w:t>
            </w:r>
            <w:proofErr w:type="spellEnd"/>
            <w:r>
              <w:rPr>
                <w:bCs/>
              </w:rPr>
              <w:t>.</w:t>
            </w:r>
          </w:p>
          <w:p w:rsidR="00624268" w:rsidRPr="00DC4022" w:rsidRDefault="00624268" w:rsidP="0062426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r>
              <w:t>2.3. Д</w:t>
            </w:r>
            <w:r w:rsidRPr="00624268">
              <w:rPr>
                <w:color w:val="000000"/>
                <w:shd w:val="clear" w:color="auto" w:fill="FFFFFF"/>
              </w:rPr>
              <w:t>ата окончания приема бюллетеней для голосования (в случае проведения общего собрания акционеров в форме заочного голосования)</w:t>
            </w:r>
            <w:r>
              <w:rPr>
                <w:color w:val="000000"/>
                <w:shd w:val="clear" w:color="auto" w:fill="FFFFFF"/>
              </w:rPr>
              <w:t xml:space="preserve">: </w:t>
            </w:r>
            <w:r w:rsidRPr="00DC4022">
              <w:rPr>
                <w:bCs/>
              </w:rPr>
              <w:t>в связи с тем, что общее собрание акционеров не будет проводиться в форме заочного голосования, информация о дате окончания приема почтовом адресе для направления заполненных бюллетеней для голосования, не приводится.</w:t>
            </w:r>
          </w:p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  <w:shd w:val="clear" w:color="auto" w:fill="FFFFFF"/>
              </w:rPr>
            </w:pPr>
            <w:r w:rsidRPr="00624268">
              <w:rPr>
                <w:color w:val="000000"/>
                <w:shd w:val="clear" w:color="auto" w:fill="FFFFFF"/>
              </w:rPr>
              <w:t>2.4. Д</w:t>
            </w:r>
            <w:r w:rsidRPr="00624268">
              <w:rPr>
                <w:color w:val="000000"/>
                <w:shd w:val="clear" w:color="auto" w:fill="FFFFFF"/>
              </w:rPr>
              <w:t>ата составления списка лиц, имеющих право на участие в общем собрании акционеров</w:t>
            </w:r>
            <w:r w:rsidRPr="00624268">
              <w:rPr>
                <w:color w:val="000000"/>
                <w:shd w:val="clear" w:color="auto" w:fill="FFFFFF"/>
              </w:rPr>
              <w:t>:</w:t>
            </w:r>
          </w:p>
          <w:p w:rsidR="00624268" w:rsidRPr="00624268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r w:rsidRPr="00624268">
              <w:rPr>
                <w:bCs/>
              </w:rPr>
              <w:t>25 мая 2015 года</w:t>
            </w:r>
            <w:r w:rsidRPr="00624268">
              <w:rPr>
                <w:bCs/>
              </w:rPr>
              <w:t>.</w:t>
            </w:r>
          </w:p>
          <w:p w:rsidR="00624268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  <w:shd w:val="clear" w:color="auto" w:fill="FFFFFF"/>
              </w:rPr>
            </w:pPr>
            <w:r w:rsidRPr="00624268">
              <w:rPr>
                <w:bCs/>
              </w:rPr>
              <w:t>2.5.</w:t>
            </w:r>
            <w:r>
              <w:rPr>
                <w:bCs/>
              </w:rPr>
              <w:t xml:space="preserve"> П</w:t>
            </w:r>
            <w:r w:rsidRPr="00624268">
              <w:rPr>
                <w:color w:val="000000"/>
                <w:shd w:val="clear" w:color="auto" w:fill="FFFFFF"/>
              </w:rPr>
              <w:t>овестка дня общего собрания акционеров</w:t>
            </w:r>
            <w:r>
              <w:rPr>
                <w:color w:val="000000"/>
                <w:shd w:val="clear" w:color="auto" w:fill="FFFFFF"/>
              </w:rPr>
              <w:t>: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bCs/>
                <w:sz w:val="22"/>
                <w:szCs w:val="22"/>
              </w:rPr>
              <w:t>Распределение прибыли Общества по результатам финансового года.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sz w:val="22"/>
                <w:szCs w:val="22"/>
              </w:rPr>
              <w:t>О размере, сроках, форме, порядку выплаты дивидендов по итогам деятельности за 2014 г.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bCs/>
                <w:sz w:val="22"/>
                <w:szCs w:val="22"/>
              </w:rPr>
              <w:t>Избрание ревизора Общества.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bCs/>
                <w:sz w:val="22"/>
                <w:szCs w:val="22"/>
              </w:rPr>
              <w:t>Утверждение аудитора Общества.</w:t>
            </w:r>
          </w:p>
          <w:p w:rsidR="00624268" w:rsidRPr="00D21C3E" w:rsidRDefault="00624268" w:rsidP="00624268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21C3E">
              <w:rPr>
                <w:sz w:val="22"/>
                <w:szCs w:val="22"/>
              </w:rPr>
              <w:t>Одобрение сделок, в совершении которых имеется заинтересованность.</w:t>
            </w:r>
          </w:p>
          <w:p w:rsidR="00624268" w:rsidRPr="00624268" w:rsidRDefault="00624268" w:rsidP="0062426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proofErr w:type="gramStart"/>
            <w:r>
              <w:rPr>
                <w:color w:val="000000"/>
              </w:rPr>
              <w:t xml:space="preserve">2.6. </w:t>
            </w:r>
            <w:r w:rsidRPr="00624268">
              <w:rPr>
                <w:color w:val="000000"/>
              </w:rPr>
              <w:t>П</w:t>
            </w:r>
            <w:r w:rsidRPr="00624268">
              <w:rPr>
                <w:color w:val="000000"/>
                <w:shd w:val="clear" w:color="auto" w:fill="FFFFFF"/>
              </w:rPr>
              <w:t>орядок ознакомления с информацией (материалами), подлежащей (подлежащими) предоставлению при подготовке к проведению общего собрания акционеров, и адрес (адреса), по которому (которым) с ней (с ними) можно ознакомиться</w:t>
            </w:r>
            <w:r w:rsidRPr="00624268">
              <w:rPr>
                <w:color w:val="000000"/>
                <w:shd w:val="clear" w:color="auto" w:fill="FFFFFF"/>
              </w:rPr>
              <w:t xml:space="preserve">: </w:t>
            </w:r>
            <w:r w:rsidRPr="00624268">
              <w:rPr>
                <w:bCs/>
              </w:rPr>
              <w:t xml:space="preserve">перечень информации (материалов) предоставляемой акционерам при подготовке проведения годового общего собрания акционеров </w:t>
            </w:r>
            <w:r w:rsidRPr="00624268">
              <w:t>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</w:t>
            </w:r>
            <w:r w:rsidRPr="00624268">
              <w:rPr>
                <w:bCs/>
              </w:rPr>
              <w:t>:</w:t>
            </w:r>
            <w:proofErr w:type="gramEnd"/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24268">
              <w:rPr>
                <w:bCs/>
              </w:rPr>
              <w:lastRenderedPageBreak/>
              <w:t xml:space="preserve">Годовой отчет </w:t>
            </w:r>
            <w:r w:rsidRPr="00624268">
              <w:t>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</w:t>
            </w:r>
            <w:r w:rsidRPr="00624268">
              <w:rPr>
                <w:bCs/>
              </w:rPr>
              <w:t xml:space="preserve"> за 2014 год;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</w:pPr>
            <w:r w:rsidRPr="00624268">
              <w:t>Годовая бухгалтерская отчетность за 2014 год, в том числе отчет о финансовых результатах;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24268">
              <w:rPr>
                <w:bCs/>
              </w:rPr>
              <w:t>Заключение аудитора;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24268">
              <w:rPr>
                <w:bCs/>
              </w:rPr>
              <w:t>Заключение Ревизора;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24268">
              <w:rPr>
                <w:bCs/>
              </w:rPr>
              <w:t>Настоящий протокол Совета директоров;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24268">
              <w:rPr>
                <w:bCs/>
              </w:rPr>
              <w:t>Проекты решений по вопросам повестки дня годового общего собрания акционеров;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24268">
              <w:rPr>
                <w:bCs/>
              </w:rPr>
              <w:t>Информация о кандидатах, выдвинутых для избрания в органы Общества и о наличии, либо отсутствии письменного согласия выдвинутых кандидатов избираться в соответствующие органы;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gramStart"/>
            <w:r w:rsidRPr="00624268">
              <w:t>Договоры между 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 и ЗАО ИК «АГРОИНВЕСТ» купли-продажи земельного участка  202-КК, 810-КК,812-КК,808-КК,101-КК,713-КК от 30.12.2014 года, 810-261, 810-262 от 14.07.2014 года, 810-126 от 07.02.2014 г, купли-продажи земельного участка  со зданиями от 30.01.2014 года, договоры контрактации от 10.12.2013 года, 10.02.2014 года, 20.03.2014 года,14.04.2014 года, 14.05.2014 года, 10.06.2014 года, 14.07.2014 года, 15.09.2014 года</w:t>
            </w:r>
            <w:proofErr w:type="gramEnd"/>
            <w:r w:rsidRPr="00624268">
              <w:t>, 14.11.2014 года, договора займа 01/14 от 05.12.2014 года, договор о приобретении ценных бумаг от 25.12.2014 года;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 w:rsidRPr="00624268">
              <w:t>договоры между 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 </w:t>
            </w:r>
            <w:proofErr w:type="gramStart"/>
            <w:r w:rsidRPr="00624268">
              <w:t>и ООО У</w:t>
            </w:r>
            <w:proofErr w:type="gramEnd"/>
            <w:r w:rsidRPr="00624268">
              <w:t>К «</w:t>
            </w:r>
            <w:proofErr w:type="spellStart"/>
            <w:r w:rsidRPr="00624268">
              <w:t>АгроМенеджмент</w:t>
            </w:r>
            <w:proofErr w:type="spellEnd"/>
            <w:r w:rsidRPr="00624268">
              <w:t xml:space="preserve">» займа №01 от 04.02.2014г., №02 от 03.02.2014г., №03 от 05.02.2014г., №04 от 13.10.2014г., 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 w:rsidRPr="00624268">
              <w:t>договоры между 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 и ОАО «</w:t>
            </w:r>
            <w:proofErr w:type="spellStart"/>
            <w:r w:rsidRPr="00624268">
              <w:t>Агроплемсоюз</w:t>
            </w:r>
            <w:proofErr w:type="spellEnd"/>
            <w:r w:rsidRPr="00624268">
              <w:t>» займа №14/10 от 13.10.2014 года.</w:t>
            </w:r>
          </w:p>
          <w:p w:rsidR="00624268" w:rsidRPr="00624268" w:rsidRDefault="00624268" w:rsidP="0062426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 w:rsidRPr="00624268">
              <w:t>договоры между 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 </w:t>
            </w:r>
            <w:proofErr w:type="gramStart"/>
            <w:r w:rsidRPr="00624268">
              <w:t>и ООО</w:t>
            </w:r>
            <w:proofErr w:type="gramEnd"/>
            <w:r w:rsidRPr="00624268">
              <w:t xml:space="preserve"> «</w:t>
            </w:r>
            <w:proofErr w:type="spellStart"/>
            <w:r w:rsidRPr="00624268">
              <w:t>ДомСтрой</w:t>
            </w:r>
            <w:proofErr w:type="spellEnd"/>
            <w:r w:rsidRPr="00624268">
              <w:t>» купли-продажи земельного участка со зданиями от 30.12.2014 года и от 08.08.2014 года.</w:t>
            </w:r>
          </w:p>
          <w:p w:rsidR="00624268" w:rsidRPr="00624268" w:rsidRDefault="00624268" w:rsidP="00624268">
            <w:pPr>
              <w:jc w:val="both"/>
              <w:rPr>
                <w:bCs/>
              </w:rPr>
            </w:pPr>
            <w:r w:rsidRPr="00624268">
              <w:t>Информация предоставляется акционерам с 27 мая</w:t>
            </w:r>
            <w:r w:rsidRPr="00624268">
              <w:t xml:space="preserve"> </w:t>
            </w:r>
            <w:r w:rsidRPr="00624268">
              <w:t xml:space="preserve">2015 г. по </w:t>
            </w:r>
            <w:r w:rsidRPr="00624268">
              <w:rPr>
                <w:spacing w:val="-4"/>
              </w:rPr>
              <w:t xml:space="preserve">адресу: </w:t>
            </w:r>
            <w:r w:rsidRPr="00624268">
              <w:t xml:space="preserve">Калужская область, </w:t>
            </w:r>
            <w:proofErr w:type="spellStart"/>
            <w:r w:rsidRPr="00624268">
              <w:t>Малоярославецкий</w:t>
            </w:r>
            <w:proofErr w:type="spellEnd"/>
            <w:r w:rsidRPr="00624268">
              <w:t xml:space="preserve"> район, п. </w:t>
            </w:r>
            <w:proofErr w:type="spellStart"/>
            <w:r w:rsidRPr="00624268">
              <w:t>Кудиново</w:t>
            </w:r>
            <w:proofErr w:type="spellEnd"/>
            <w:r w:rsidRPr="00624268">
              <w:t>, здание администрации ОАО «</w:t>
            </w:r>
            <w:proofErr w:type="spellStart"/>
            <w:r w:rsidRPr="00624268">
              <w:t>Племзавод</w:t>
            </w:r>
            <w:proofErr w:type="spellEnd"/>
            <w:r w:rsidRPr="00624268">
              <w:t xml:space="preserve"> им. В.Н. Цветкова», в бухгалтерии, в</w:t>
            </w:r>
            <w:r w:rsidRPr="00624268">
              <w:rPr>
                <w:spacing w:val="-4"/>
              </w:rPr>
              <w:t xml:space="preserve"> рабочие дни с 8 до 16 часов.</w:t>
            </w:r>
          </w:p>
          <w:p w:rsidR="00624268" w:rsidRPr="007609FB" w:rsidRDefault="00624268" w:rsidP="0062426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24268" w:rsidRPr="00295B8D" w:rsidTr="00ED1800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lastRenderedPageBreak/>
              <w:t>3. Подпись</w:t>
            </w:r>
          </w:p>
        </w:tc>
      </w:tr>
      <w:tr w:rsidR="00624268" w:rsidRPr="00A7122C" w:rsidTr="00ED1800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68" w:rsidRPr="00BE5036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  <w:p w:rsidR="00624268" w:rsidRPr="00BE5036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3.1. Генеральный директор                          ______________                             </w:t>
            </w:r>
            <w:r w:rsidR="00B06EE5">
              <w:rPr>
                <w:sz w:val="22"/>
                <w:szCs w:val="22"/>
              </w:rPr>
              <w:t>С.А. Алешин</w:t>
            </w:r>
          </w:p>
          <w:p w:rsidR="00624268" w:rsidRPr="00BE5036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                                                                             (подпись)</w:t>
            </w:r>
          </w:p>
          <w:p w:rsidR="00624268" w:rsidRPr="00BE5036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3.2. Дата </w:t>
            </w:r>
            <w:r w:rsidR="00B06EE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</w:t>
            </w:r>
            <w:r w:rsidR="00B06EE5">
              <w:rPr>
                <w:sz w:val="22"/>
                <w:szCs w:val="22"/>
              </w:rPr>
              <w:t>мая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2015</w:t>
            </w:r>
            <w:r w:rsidRPr="00BE5036">
              <w:rPr>
                <w:sz w:val="22"/>
                <w:szCs w:val="22"/>
              </w:rPr>
              <w:t xml:space="preserve"> г.                                      М.П.</w:t>
            </w:r>
          </w:p>
          <w:p w:rsidR="00624268" w:rsidRPr="00BE5036" w:rsidRDefault="00624268" w:rsidP="00ED180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624268" w:rsidRDefault="00624268" w:rsidP="00624268">
      <w:pPr>
        <w:pStyle w:val="prilozhenie"/>
      </w:pPr>
    </w:p>
    <w:p w:rsidR="00624268" w:rsidRDefault="00624268" w:rsidP="00624268"/>
    <w:p w:rsidR="00624268" w:rsidRDefault="00624268"/>
    <w:sectPr w:rsidR="0062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8"/>
    <w:rsid w:val="00624268"/>
    <w:rsid w:val="00647018"/>
    <w:rsid w:val="00976DE9"/>
    <w:rsid w:val="00A5356C"/>
    <w:rsid w:val="00B06EE5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624268"/>
    <w:pPr>
      <w:ind w:firstLine="709"/>
      <w:jc w:val="both"/>
    </w:pPr>
    <w:rPr>
      <w:lang w:eastAsia="en-US"/>
    </w:rPr>
  </w:style>
  <w:style w:type="paragraph" w:customStyle="1" w:styleId="1">
    <w:name w:val="Знак1"/>
    <w:basedOn w:val="a"/>
    <w:rsid w:val="006242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624268"/>
    <w:pPr>
      <w:ind w:firstLine="709"/>
      <w:jc w:val="both"/>
    </w:pPr>
    <w:rPr>
      <w:lang w:eastAsia="en-US"/>
    </w:rPr>
  </w:style>
  <w:style w:type="paragraph" w:customStyle="1" w:styleId="1">
    <w:name w:val="Знак1"/>
    <w:basedOn w:val="a"/>
    <w:rsid w:val="006242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2015-05-14T09:01:00Z</dcterms:created>
  <dcterms:modified xsi:type="dcterms:W3CDTF">2015-05-14T09:20:00Z</dcterms:modified>
</cp:coreProperties>
</file>